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9C5" w:rsidRPr="00B013F9" w:rsidRDefault="009B79C5" w:rsidP="009B7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013F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melléklet az 1/2019 (II.15.</w:t>
      </w:r>
      <w:r w:rsidRPr="00B013F9">
        <w:rPr>
          <w:b/>
          <w:sz w:val="24"/>
          <w:szCs w:val="24"/>
        </w:rPr>
        <w:t>) önkormányzati rendelethez</w:t>
      </w:r>
    </w:p>
    <w:p w:rsidR="009B79C5" w:rsidRPr="00B013F9" w:rsidRDefault="009B79C5" w:rsidP="009B79C5">
      <w:pPr>
        <w:jc w:val="center"/>
        <w:rPr>
          <w:b/>
          <w:i/>
          <w:sz w:val="24"/>
          <w:szCs w:val="24"/>
        </w:rPr>
      </w:pPr>
    </w:p>
    <w:p w:rsidR="009B79C5" w:rsidRPr="00B013F9" w:rsidRDefault="009B79C5" w:rsidP="009B79C5">
      <w:pPr>
        <w:jc w:val="center"/>
        <w:rPr>
          <w:b/>
          <w:i/>
          <w:sz w:val="24"/>
          <w:szCs w:val="24"/>
        </w:rPr>
      </w:pPr>
    </w:p>
    <w:p w:rsidR="009B79C5" w:rsidRPr="00B013F9" w:rsidRDefault="009B79C5" w:rsidP="009B79C5">
      <w:pPr>
        <w:tabs>
          <w:tab w:val="left" w:leader="dot" w:pos="2835"/>
        </w:tabs>
        <w:jc w:val="center"/>
        <w:rPr>
          <w:sz w:val="24"/>
          <w:szCs w:val="24"/>
        </w:rPr>
      </w:pPr>
      <w:r w:rsidRPr="00B013F9"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Roma </w:t>
      </w:r>
      <w:r w:rsidRPr="00B013F9">
        <w:rPr>
          <w:sz w:val="24"/>
          <w:szCs w:val="24"/>
        </w:rPr>
        <w:t xml:space="preserve"> </w:t>
      </w:r>
      <w:r>
        <w:rPr>
          <w:sz w:val="24"/>
          <w:szCs w:val="24"/>
        </w:rPr>
        <w:t>Nemzetiségi</w:t>
      </w:r>
      <w:proofErr w:type="gramEnd"/>
      <w:r w:rsidRPr="00B013F9">
        <w:rPr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 w:rsidRPr="00B013F9">
        <w:rPr>
          <w:sz w:val="24"/>
          <w:szCs w:val="24"/>
        </w:rPr>
        <w:t>nkormányzat költségvetése</w:t>
      </w:r>
    </w:p>
    <w:p w:rsidR="009B79C5" w:rsidRPr="00B013F9" w:rsidRDefault="009B79C5" w:rsidP="009B79C5">
      <w:pPr>
        <w:pStyle w:val="Szvegtrzs2"/>
        <w:rPr>
          <w:sz w:val="24"/>
          <w:szCs w:val="24"/>
        </w:rPr>
      </w:pPr>
    </w:p>
    <w:p w:rsidR="009B79C5" w:rsidRDefault="009B79C5" w:rsidP="009B79C5">
      <w:pPr>
        <w:pStyle w:val="Szvegtrzs2"/>
        <w:jc w:val="both"/>
        <w:rPr>
          <w:b w:val="0"/>
          <w:i/>
          <w:sz w:val="24"/>
          <w:szCs w:val="24"/>
        </w:rPr>
      </w:pPr>
      <w:r w:rsidRPr="00B013F9">
        <w:rPr>
          <w:b w:val="0"/>
          <w:i/>
          <w:sz w:val="24"/>
          <w:szCs w:val="24"/>
        </w:rPr>
        <w:t xml:space="preserve">(*Mellékletként be kell helyezni a helyi </w:t>
      </w:r>
      <w:r>
        <w:rPr>
          <w:b w:val="0"/>
          <w:i/>
          <w:sz w:val="24"/>
          <w:szCs w:val="24"/>
        </w:rPr>
        <w:t>nemzetiségi</w:t>
      </w:r>
      <w:r w:rsidRPr="00B013F9">
        <w:rPr>
          <w:b w:val="0"/>
          <w:i/>
          <w:sz w:val="24"/>
          <w:szCs w:val="24"/>
        </w:rPr>
        <w:t xml:space="preserve"> önkormányzat(ok) költségvetését – köl</w:t>
      </w:r>
      <w:r w:rsidRPr="00B013F9">
        <w:rPr>
          <w:b w:val="0"/>
          <w:i/>
          <w:sz w:val="24"/>
          <w:szCs w:val="24"/>
        </w:rPr>
        <w:t>t</w:t>
      </w:r>
      <w:r w:rsidRPr="00B013F9">
        <w:rPr>
          <w:b w:val="0"/>
          <w:i/>
          <w:sz w:val="24"/>
          <w:szCs w:val="24"/>
        </w:rPr>
        <w:t>ségvetési határozatait/határozatát.)</w:t>
      </w:r>
    </w:p>
    <w:p w:rsidR="009B79C5" w:rsidRDefault="009B79C5" w:rsidP="009B79C5">
      <w:pPr>
        <w:pStyle w:val="Szvegtrzs2"/>
        <w:jc w:val="both"/>
        <w:rPr>
          <w:b w:val="0"/>
          <w:i/>
          <w:sz w:val="24"/>
          <w:szCs w:val="24"/>
        </w:rPr>
      </w:pPr>
    </w:p>
    <w:p w:rsidR="009B79C5" w:rsidRDefault="009B79C5" w:rsidP="009B79C5">
      <w:pPr>
        <w:pStyle w:val="Szvegtrzs2"/>
        <w:jc w:val="both"/>
        <w:rPr>
          <w:b w:val="0"/>
          <w:i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1688"/>
        <w:gridCol w:w="1483"/>
        <w:gridCol w:w="1514"/>
        <w:gridCol w:w="1625"/>
        <w:gridCol w:w="1562"/>
      </w:tblGrid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u w:val="double"/>
              </w:rPr>
              <w:t>011140 Helyi Nemzetiségi Önkormányzat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4"/>
                <w:szCs w:val="24"/>
                <w:u w:val="double"/>
              </w:rPr>
              <w:t xml:space="preserve"> 2019. évi költségvetése 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Tiszteletdíj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60.000,- </w:t>
            </w:r>
            <w:proofErr w:type="gram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40.000,-</w:t>
            </w:r>
            <w:proofErr w:type="gram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30.000 x 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2 hó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320 000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>Külső személyi juttatás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 xml:space="preserve">320 000 </w:t>
            </w: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u w:val="single"/>
              </w:rPr>
              <w:t>Szociális hozzájárulási adó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62 400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320 000,-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19,50%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62 400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>Munkaadókat  terhelő</w:t>
            </w:r>
            <w:proofErr w:type="gramEnd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 xml:space="preserve"> járulékok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 xml:space="preserve">62 400 </w:t>
            </w: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53222</w:t>
            </w:r>
          </w:p>
        </w:tc>
        <w:tc>
          <w:tcPr>
            <w:tcW w:w="317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Telefondíjra (kártya)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48 000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53551</w:t>
            </w:r>
          </w:p>
        </w:tc>
        <w:tc>
          <w:tcPr>
            <w:tcW w:w="46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Egyéb dologi kiadás (Társadalmi ünnepekre koszorú, rendezvényre)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353 260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53372</w:t>
            </w: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Banki költség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150 000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53521</w:t>
            </w:r>
          </w:p>
        </w:tc>
        <w:tc>
          <w:tcPr>
            <w:tcW w:w="46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Általános forgalmi adó kiadások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401 260,-Ft/27%-a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108 340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>Intézmény üzemeltetés fenntartás kiadásai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 xml:space="preserve">659 600 </w:t>
            </w: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  <w:t>Kiadás mindösszesen: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  <w:t xml:space="preserve">1 042 000 </w:t>
            </w: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  <w:t>BEVÉTEL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  <w:u w:val="double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46411</w:t>
            </w:r>
          </w:p>
        </w:tc>
        <w:tc>
          <w:tcPr>
            <w:tcW w:w="46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Helyi kisebbségi önkormányzat működésének általános támogatása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1 042 000 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>Átvett pénzeszköz központi költségvetési szervtől</w:t>
            </w: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 xml:space="preserve">1 042 000 </w:t>
            </w: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1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  <w:t>Bevétel összesen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u w:val="double"/>
              </w:rPr>
              <w:t xml:space="preserve">1 042 000 </w:t>
            </w:r>
          </w:p>
        </w:tc>
      </w:tr>
      <w:tr w:rsidR="009B79C5" w:rsidTr="00965B5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10" w:type="dxa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B79C5" w:rsidRDefault="009B79C5" w:rsidP="00965B53">
            <w:pPr>
              <w:autoSpaceDE w:val="0"/>
              <w:autoSpaceDN w:val="0"/>
              <w:adjustRightInd w:val="0"/>
              <w:jc w:val="right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</w:tbl>
    <w:p w:rsidR="007C6064" w:rsidRDefault="009B79C5">
      <w:r w:rsidRPr="00B013F9">
        <w:rPr>
          <w:b/>
          <w:sz w:val="24"/>
          <w:szCs w:val="24"/>
        </w:rPr>
        <w:br w:type="page"/>
      </w:r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C5"/>
    <w:rsid w:val="004829CE"/>
    <w:rsid w:val="007C6064"/>
    <w:rsid w:val="009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70E21-305D-4C5B-9249-50D44A2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7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B79C5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9B79C5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2019-08-01T11:15:00Z</dcterms:created>
  <dcterms:modified xsi:type="dcterms:W3CDTF">2019-08-01T11:15:00Z</dcterms:modified>
</cp:coreProperties>
</file>