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28C" w:rsidRPr="00502BC6" w:rsidRDefault="003A628C" w:rsidP="003A628C">
      <w:pPr>
        <w:pStyle w:val="Nincstrkz"/>
        <w:jc w:val="right"/>
        <w:rPr>
          <w:rFonts w:asciiTheme="majorHAnsi" w:hAnsiTheme="majorHAnsi" w:cs="Arial"/>
        </w:rPr>
      </w:pPr>
      <w:r w:rsidRPr="00502BC6">
        <w:rPr>
          <w:rFonts w:asciiTheme="majorHAnsi" w:hAnsiTheme="majorHAnsi"/>
        </w:rPr>
        <w:t>1</w:t>
      </w:r>
      <w:r w:rsidRPr="00502BC6">
        <w:rPr>
          <w:rFonts w:asciiTheme="majorHAnsi" w:hAnsiTheme="majorHAnsi" w:cs="Arial"/>
        </w:rPr>
        <w:t>. számú melléklet</w:t>
      </w:r>
    </w:p>
    <w:p w:rsidR="003A628C" w:rsidRPr="00502BC6" w:rsidRDefault="003A628C" w:rsidP="003A628C">
      <w:pPr>
        <w:pStyle w:val="Nincstrkz"/>
        <w:jc w:val="right"/>
        <w:rPr>
          <w:rFonts w:asciiTheme="majorHAnsi" w:hAnsiTheme="majorHAnsi" w:cs="Arial"/>
        </w:rPr>
      </w:pPr>
    </w:p>
    <w:p w:rsidR="003A628C" w:rsidRPr="00502BC6" w:rsidRDefault="003A628C" w:rsidP="003A628C">
      <w:pPr>
        <w:pStyle w:val="Nincstrkz"/>
        <w:jc w:val="center"/>
        <w:rPr>
          <w:rFonts w:asciiTheme="majorHAnsi" w:hAnsiTheme="majorHAnsi" w:cs="Arial"/>
          <w:b/>
        </w:rPr>
      </w:pPr>
      <w:r w:rsidRPr="00502BC6">
        <w:rPr>
          <w:rFonts w:asciiTheme="majorHAnsi" w:hAnsiTheme="majorHAnsi" w:cs="Arial"/>
          <w:b/>
        </w:rPr>
        <w:t>PÁLYÁZATI FELHÍVÁS – Az új munkahelyek létrehozásának ösztönzése</w:t>
      </w:r>
    </w:p>
    <w:p w:rsidR="003A628C" w:rsidRPr="00DE09DF" w:rsidRDefault="003A628C" w:rsidP="003A628C">
      <w:pPr>
        <w:pStyle w:val="Nincstrkz"/>
        <w:jc w:val="center"/>
        <w:rPr>
          <w:rFonts w:asciiTheme="majorHAnsi" w:hAnsiTheme="majorHAnsi" w:cs="Arial"/>
          <w:b/>
          <w:sz w:val="22"/>
        </w:rPr>
      </w:pP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Algyő Nagyközség Önkormányzata Képviselő-testületének a gazdaságélénkítésről szóló Rendelete keretében támogatott </w:t>
      </w:r>
      <w:r w:rsidRPr="00502BC6">
        <w:rPr>
          <w:rFonts w:asciiTheme="majorHAnsi" w:hAnsiTheme="majorHAnsi" w:cs="Arial"/>
          <w:b/>
        </w:rPr>
        <w:t>„Az új munkahelyek létrehozásának ösztönzése”</w:t>
      </w:r>
      <w:r w:rsidRPr="00502BC6">
        <w:rPr>
          <w:rFonts w:asciiTheme="majorHAnsi" w:hAnsiTheme="majorHAnsi" w:cs="Arial"/>
        </w:rPr>
        <w:t xml:space="preserve"> című pályázati felhívása.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sz w:val="22"/>
        </w:rPr>
      </w:pP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  <w:b/>
        </w:rPr>
      </w:pPr>
      <w:r w:rsidRPr="00502BC6">
        <w:rPr>
          <w:rFonts w:asciiTheme="majorHAnsi" w:hAnsiTheme="majorHAnsi" w:cs="Arial"/>
        </w:rPr>
        <w:t xml:space="preserve">A </w:t>
      </w:r>
      <w:r w:rsidRPr="00502BC6">
        <w:rPr>
          <w:rFonts w:asciiTheme="majorHAnsi" w:hAnsiTheme="majorHAnsi" w:cs="Arial"/>
          <w:b/>
        </w:rPr>
        <w:t>pályázat célja,</w:t>
      </w:r>
      <w:r w:rsidRPr="00502BC6">
        <w:rPr>
          <w:rFonts w:asciiTheme="majorHAnsi" w:hAnsiTheme="majorHAnsi" w:cs="Arial"/>
        </w:rPr>
        <w:t xml:space="preserve"> hogy egyszeri </w:t>
      </w:r>
      <w:r w:rsidRPr="00502BC6">
        <w:rPr>
          <w:rFonts w:asciiTheme="majorHAnsi" w:hAnsiTheme="majorHAnsi" w:cs="Arial"/>
          <w:b/>
        </w:rPr>
        <w:t>vissza nem térítendő</w:t>
      </w:r>
      <w:r w:rsidRPr="00502BC6">
        <w:rPr>
          <w:rFonts w:asciiTheme="majorHAnsi" w:hAnsiTheme="majorHAnsi" w:cs="Arial"/>
        </w:rPr>
        <w:t>/</w:t>
      </w:r>
      <w:r w:rsidRPr="00502BC6">
        <w:rPr>
          <w:rFonts w:asciiTheme="majorHAnsi" w:hAnsiTheme="majorHAnsi" w:cs="Arial"/>
          <w:b/>
        </w:rPr>
        <w:t xml:space="preserve">visszatérítendő kamatmentes </w:t>
      </w:r>
      <w:r w:rsidRPr="00502BC6">
        <w:rPr>
          <w:rFonts w:asciiTheme="majorHAnsi" w:hAnsiTheme="majorHAnsi" w:cs="Arial"/>
        </w:rPr>
        <w:t xml:space="preserve">pénzügyi támogatással segítséget nyújtson az Algyő nagyközség közigazgatási területén működő vállalkozók, vállalkozások számára </w:t>
      </w:r>
      <w:r w:rsidRPr="00502BC6">
        <w:rPr>
          <w:rFonts w:asciiTheme="majorHAnsi" w:hAnsiTheme="majorHAnsi" w:cs="Arial"/>
          <w:b/>
        </w:rPr>
        <w:t>új munkahelyek létrehozására.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b/>
          <w:sz w:val="22"/>
        </w:rPr>
      </w:pP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  <w:b/>
        </w:rPr>
      </w:pPr>
      <w:r w:rsidRPr="00502BC6">
        <w:rPr>
          <w:rFonts w:asciiTheme="majorHAnsi" w:hAnsiTheme="majorHAnsi" w:cs="Arial"/>
          <w:b/>
        </w:rPr>
        <w:t xml:space="preserve">I., </w:t>
      </w:r>
      <w:proofErr w:type="gramStart"/>
      <w:r w:rsidRPr="00502BC6">
        <w:rPr>
          <w:rFonts w:asciiTheme="majorHAnsi" w:hAnsiTheme="majorHAnsi" w:cs="Arial"/>
          <w:b/>
        </w:rPr>
        <w:t>A</w:t>
      </w:r>
      <w:proofErr w:type="gramEnd"/>
      <w:r w:rsidRPr="00502BC6">
        <w:rPr>
          <w:rFonts w:asciiTheme="majorHAnsi" w:hAnsiTheme="majorHAnsi" w:cs="Arial"/>
          <w:b/>
        </w:rPr>
        <w:t xml:space="preserve"> pályázat tárgykörei: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b/>
          <w:sz w:val="22"/>
        </w:rPr>
      </w:pPr>
    </w:p>
    <w:p w:rsidR="003A628C" w:rsidRPr="00502BC6" w:rsidRDefault="003A628C" w:rsidP="003A628C">
      <w:pPr>
        <w:pStyle w:val="Default"/>
        <w:numPr>
          <w:ilvl w:val="0"/>
          <w:numId w:val="1"/>
        </w:numPr>
        <w:ind w:left="142" w:firstLine="0"/>
        <w:jc w:val="both"/>
        <w:rPr>
          <w:rFonts w:asciiTheme="majorHAnsi" w:hAnsiTheme="majorHAnsi"/>
        </w:rPr>
      </w:pPr>
      <w:r w:rsidRPr="00502BC6">
        <w:rPr>
          <w:rFonts w:asciiTheme="majorHAnsi" w:hAnsiTheme="majorHAnsi"/>
        </w:rPr>
        <w:t>vissza nem térítendő támogatás, melynek összege a létesített új, teljes idejű (8 órás) foglalkoztatást biztosító álláshelyenként 500.000,- Ft, legfeljebb 5 millió Ft összegig.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b/>
          <w:sz w:val="22"/>
        </w:rPr>
      </w:pP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Feltétel </w:t>
      </w:r>
      <w:r w:rsidRPr="00502BC6">
        <w:rPr>
          <w:rFonts w:asciiTheme="majorHAnsi" w:hAnsiTheme="majorHAnsi" w:cs="Arial"/>
          <w:u w:val="single"/>
        </w:rPr>
        <w:t>500 ezer forintonként minimum 1 fő</w:t>
      </w:r>
      <w:r w:rsidRPr="00502BC6">
        <w:rPr>
          <w:rFonts w:asciiTheme="majorHAnsi" w:hAnsiTheme="majorHAnsi" w:cs="Arial"/>
        </w:rPr>
        <w:t xml:space="preserve"> teljes idős (napi 8 órás) foglalkoztatású új munkahely létrehozása vagy minimum 2 fő részmunkaidős (napi 4 órás) új munkahely létrehozása a vállalkozáson belül.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sz w:val="22"/>
        </w:rPr>
      </w:pPr>
    </w:p>
    <w:p w:rsidR="003A628C" w:rsidRPr="00502BC6" w:rsidRDefault="003A628C" w:rsidP="003A628C">
      <w:pPr>
        <w:pStyle w:val="Nincstrkz"/>
        <w:ind w:left="142"/>
        <w:jc w:val="both"/>
        <w:rPr>
          <w:rFonts w:asciiTheme="majorHAnsi" w:hAnsiTheme="majorHAnsi"/>
        </w:rPr>
      </w:pPr>
      <w:r w:rsidRPr="00502BC6">
        <w:rPr>
          <w:rFonts w:asciiTheme="majorHAnsi" w:hAnsiTheme="majorHAnsi" w:cs="Arial"/>
        </w:rPr>
        <w:t xml:space="preserve">2) </w:t>
      </w:r>
      <w:r w:rsidRPr="00502BC6">
        <w:rPr>
          <w:rFonts w:asciiTheme="majorHAnsi" w:hAnsiTheme="majorHAnsi"/>
        </w:rPr>
        <w:t>visszatérítendő kamatmentes támogatás új, teljes idejű (8 órás) foglalkoztatást biztosító álláshelyenként 1.000.000,- Ft legfeljebb 5 millió Ft összegig.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sz w:val="22"/>
        </w:rPr>
      </w:pP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Feltétel </w:t>
      </w:r>
      <w:r w:rsidRPr="00502BC6">
        <w:rPr>
          <w:rFonts w:asciiTheme="majorHAnsi" w:hAnsiTheme="majorHAnsi" w:cs="Arial"/>
          <w:u w:val="single"/>
        </w:rPr>
        <w:t>1 millió forintonként minimum 1 fő</w:t>
      </w:r>
      <w:r w:rsidRPr="00502BC6">
        <w:rPr>
          <w:rFonts w:asciiTheme="majorHAnsi" w:hAnsiTheme="majorHAnsi" w:cs="Arial"/>
        </w:rPr>
        <w:t xml:space="preserve"> teljes idős (napi 8 órás) foglalkoztatású új munkahely létrehozása vagy minimum 2 fő részmunkaidős (napi 4 órás) új munkahely létrehozása a vállalkozáson belül.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sz w:val="22"/>
        </w:rPr>
      </w:pP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  <w:b/>
        </w:rPr>
      </w:pPr>
      <w:r w:rsidRPr="00502BC6">
        <w:rPr>
          <w:rFonts w:asciiTheme="majorHAnsi" w:hAnsiTheme="majorHAnsi" w:cs="Arial"/>
          <w:b/>
        </w:rPr>
        <w:t xml:space="preserve">II., </w:t>
      </w:r>
      <w:proofErr w:type="gramStart"/>
      <w:r w:rsidRPr="00502BC6">
        <w:rPr>
          <w:rFonts w:asciiTheme="majorHAnsi" w:hAnsiTheme="majorHAnsi" w:cs="Arial"/>
          <w:b/>
        </w:rPr>
        <w:t>A</w:t>
      </w:r>
      <w:proofErr w:type="gramEnd"/>
      <w:r w:rsidRPr="00502BC6">
        <w:rPr>
          <w:rFonts w:asciiTheme="majorHAnsi" w:hAnsiTheme="majorHAnsi" w:cs="Arial"/>
          <w:b/>
        </w:rPr>
        <w:t xml:space="preserve"> pénzügyi támogatás módja: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sz w:val="22"/>
        </w:rPr>
      </w:pP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A pályázó az új munkavállaló állományába vételét követően negyedévente jogosult benyújtani a támogatás biztosításához szükséges pénzügyi elszámolást.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sz w:val="22"/>
        </w:rPr>
      </w:pP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Az elszámolásnak tartalmaznia kell az alkalmazási okiratot (munkaszerződés), amelyből egyértelműen azonosíthatónak kell lennie az új munkavállaló személyes adatainak, a fizetésének és a munkaszerződés időtartamára vonatkozó dátumnak.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sz w:val="22"/>
        </w:rPr>
      </w:pP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A fentieken túl csatolni kell a fizetési jegyzék támogatott munkavállalóra vonatkozó részét, illetve átutalás esetén az átutalt munkabér igazolását. Nagyon fontos a járulékok befizetésének bizonyítása. Ennek formájaként a pályázónak kérvényeznie kell a vállalkozás köztartozás mentességi nyilvántartásba történő felvételét, illetve az elfogadott felvételről szóló igazolást be kell nyújtania az elszámoláshoz. Kizárólag azon vállalkozás vagy vállalkozó, illetve őstermelő/családi gazdálkodó pályázata támogatható, amely vállalkozás, vállalkozónak, illetve kapcsolt vállalkozásoknak, őstermelőknek/családi gazdálkodónak nincs köztartozása.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sz w:val="22"/>
        </w:rPr>
      </w:pP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A pénzügyi elszámolás sikeressége és a támogatott támogatás folyósítása csak a feltételek együttes teljesítésével lehetséges.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sz w:val="22"/>
        </w:rPr>
      </w:pP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lastRenderedPageBreak/>
        <w:t xml:space="preserve">Az új munkahelyek létrehozásának ösztönzése az alábbiak szerint kerül végrehajtásra. A sikeres pályázatot és a kölcsönösen aláírt szerződést követően, a pályázó minden negyedévet követően jogosult benyújtani a támogatás biztosításához szükséges pénzügyi elszámolást. A gyakorlati megvalósulás során a pályázónak (munkaadó) az első negyedévben ki kell fizetni (vagy átutalni) az új munkahely után járó bért és járulékokat. A negyedéves pénzügyi elszámolást követően az Önkormányzat átutalja a pályázónak a negyedév során kifizetett bruttó bér + járulékok összegének az 50 %-át. A </w:t>
      </w:r>
      <w:proofErr w:type="gramStart"/>
      <w:r w:rsidRPr="00502BC6">
        <w:rPr>
          <w:rFonts w:asciiTheme="majorHAnsi" w:hAnsiTheme="majorHAnsi" w:cs="Arial"/>
        </w:rPr>
        <w:t>bér(</w:t>
      </w:r>
      <w:proofErr w:type="spellStart"/>
      <w:proofErr w:type="gramEnd"/>
      <w:r w:rsidRPr="00502BC6">
        <w:rPr>
          <w:rFonts w:asciiTheme="majorHAnsi" w:hAnsiTheme="majorHAnsi" w:cs="Arial"/>
        </w:rPr>
        <w:t>ek</w:t>
      </w:r>
      <w:proofErr w:type="spellEnd"/>
      <w:r w:rsidRPr="00502BC6">
        <w:rPr>
          <w:rFonts w:asciiTheme="majorHAnsi" w:hAnsiTheme="majorHAnsi" w:cs="Arial"/>
        </w:rPr>
        <w:t xml:space="preserve">) + járulékok munkavállaló(k) utáni fizetése, negyedévenkénti pénzügyi elszámolása és az Önkormányzat részéről adandó 50 %-os mértékű támogatás biztosítása egészen addig történik, amíg a pályázatban leírt, szerződéssel rögzített összeg átutalásra nem kerül. </w:t>
      </w: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Visszatérítendő támogatás esetén a teljes támogatás átutalását követő hónap első napjától kezdődik a pályázó visszafizetési kötelezettsége,</w:t>
      </w:r>
      <w:r w:rsidRPr="00502BC6">
        <w:rPr>
          <w:rFonts w:asciiTheme="majorHAnsi" w:hAnsiTheme="majorHAnsi"/>
        </w:rPr>
        <w:t xml:space="preserve"> a visszafizetési kötelezettség időtartama legfeljebb 36 hónap.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sz w:val="22"/>
        </w:rPr>
      </w:pP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Amennyiben a támogatott jogszabályi és szerződéses kötelezettségeinek nem tesz eleget, különös tekintettel a fenntartási idő be nem tartására, úgy kamattal növelt visszatérítési kötelezettség terheli, melynek mértéke a jegybanki alapkamat kétszerese. A visszatérítési kötelezettség teljesítésének határideje a kötelezettség fennállásának Önkormányzat általi megállapítását követő 30 nap.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sz w:val="22"/>
        </w:rPr>
      </w:pP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  <w:b/>
        </w:rPr>
      </w:pPr>
      <w:r w:rsidRPr="00502BC6">
        <w:rPr>
          <w:rFonts w:asciiTheme="majorHAnsi" w:hAnsiTheme="majorHAnsi" w:cs="Arial"/>
          <w:b/>
        </w:rPr>
        <w:t xml:space="preserve">III., </w:t>
      </w:r>
      <w:proofErr w:type="gramStart"/>
      <w:r w:rsidRPr="00502BC6">
        <w:rPr>
          <w:rFonts w:asciiTheme="majorHAnsi" w:hAnsiTheme="majorHAnsi" w:cs="Arial"/>
          <w:b/>
        </w:rPr>
        <w:t>A</w:t>
      </w:r>
      <w:proofErr w:type="gramEnd"/>
      <w:r w:rsidRPr="00502BC6">
        <w:rPr>
          <w:rFonts w:asciiTheme="majorHAnsi" w:hAnsiTheme="majorHAnsi" w:cs="Arial"/>
          <w:b/>
        </w:rPr>
        <w:t xml:space="preserve"> pályázati támogatás biztosítéki formái: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sz w:val="22"/>
        </w:rPr>
      </w:pP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proofErr w:type="gramStart"/>
      <w:r w:rsidRPr="00502BC6">
        <w:rPr>
          <w:rFonts w:asciiTheme="majorHAnsi" w:hAnsiTheme="majorHAnsi" w:cs="Arial"/>
        </w:rPr>
        <w:t>a</w:t>
      </w:r>
      <w:proofErr w:type="gramEnd"/>
      <w:r w:rsidRPr="00502BC6">
        <w:rPr>
          <w:rFonts w:asciiTheme="majorHAnsi" w:hAnsiTheme="majorHAnsi" w:cs="Arial"/>
        </w:rPr>
        <w:t>) óvadék (pénzbetét, állam által kibocsátott értékpapír)</w:t>
      </w: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b) termőföld ingatlan</w:t>
      </w: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c) épített ingatlan, amelyre másnak nincs bejegyezve jelzáloga, és nem lehet a saját lakóingatlana, amelyben életvitelszerűen él.</w:t>
      </w: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d) zálogtárgy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sz w:val="22"/>
        </w:rPr>
      </w:pP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A biztosíték meglétét, tulajdonlását igazoló okmányokat a pályázathoz csatolni kell. Ennek elmaradása esetén a pályázat érdemi elbírálás nélkül elutasításra kerül. Amennyiben a pályázó ingatlanon kívül eső dolgot ajánl fel biztosítékul, úgy a zálogszerződés közjegyzői okiratba foglalásának, valamint a nyilvántartásba vételének költségeit a pályázónak viselnie kell. 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sz w:val="22"/>
        </w:rPr>
      </w:pP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A támogatás elnyerése esetén a támogatott köteles a fedezetül felajánlott ingatlanra, vagy vagyontárgyra vonatkozóan általános vagyonbiztosítást kötni, valamint a támogatás erejéig és idejéig a biztosítás összegét Algyő Nagyközség Önkormányzata javára engedményeztetni.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sz w:val="22"/>
        </w:rPr>
      </w:pP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  <w:b/>
        </w:rPr>
      </w:pPr>
      <w:r w:rsidRPr="00502BC6">
        <w:rPr>
          <w:rFonts w:asciiTheme="majorHAnsi" w:hAnsiTheme="majorHAnsi" w:cs="Arial"/>
          <w:b/>
        </w:rPr>
        <w:t xml:space="preserve">IV., </w:t>
      </w:r>
      <w:proofErr w:type="gramStart"/>
      <w:r w:rsidRPr="00502BC6">
        <w:rPr>
          <w:rFonts w:asciiTheme="majorHAnsi" w:hAnsiTheme="majorHAnsi" w:cs="Arial"/>
          <w:b/>
        </w:rPr>
        <w:t>A</w:t>
      </w:r>
      <w:proofErr w:type="gramEnd"/>
      <w:r w:rsidRPr="00502BC6">
        <w:rPr>
          <w:rFonts w:asciiTheme="majorHAnsi" w:hAnsiTheme="majorHAnsi" w:cs="Arial"/>
          <w:b/>
        </w:rPr>
        <w:t xml:space="preserve"> pályázat benyújtására jogosult: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sz w:val="22"/>
        </w:rPr>
      </w:pP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Pályázat benyújtására jogosult minden olyan vállalkozás (egyéni, ill. társas vállalkozás, őstermelő/családi gazdálkodó), aki/amely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sz w:val="22"/>
        </w:rPr>
      </w:pP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 1.  </w:t>
      </w:r>
      <w:r w:rsidRPr="00502BC6">
        <w:rPr>
          <w:rFonts w:asciiTheme="majorHAnsi" w:hAnsiTheme="majorHAnsi" w:cs="Arial"/>
        </w:rPr>
        <w:tab/>
        <w:t>Algyő nagyközség közigazgatási területén bejegyzett székhellyel és/vagy telephellyel rendelkezik,</w:t>
      </w: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 2. </w:t>
      </w:r>
      <w:r w:rsidRPr="00502BC6">
        <w:rPr>
          <w:rFonts w:asciiTheme="majorHAnsi" w:hAnsiTheme="majorHAnsi" w:cs="Arial"/>
        </w:rPr>
        <w:tab/>
        <w:t>a pályázat benyújtásakor nem áll csőd-, felszámolási vagy végelszámolási eljárás alatt,</w:t>
      </w: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 3. </w:t>
      </w:r>
      <w:r w:rsidRPr="00502BC6">
        <w:rPr>
          <w:rFonts w:asciiTheme="majorHAnsi" w:hAnsiTheme="majorHAnsi" w:cs="Arial"/>
        </w:rPr>
        <w:tab/>
        <w:t>a pályázat beadásakor lejárt beadásakor lejárt köztartozása nincs,</w:t>
      </w: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lastRenderedPageBreak/>
        <w:t xml:space="preserve">   4. </w:t>
      </w:r>
      <w:r w:rsidRPr="00502BC6">
        <w:rPr>
          <w:rFonts w:asciiTheme="majorHAnsi" w:hAnsiTheme="majorHAnsi" w:cs="Arial"/>
        </w:rPr>
        <w:tab/>
        <w:t xml:space="preserve">nem pályázhat 5 évig az a vállalkozás aki/amely a már folyósított támogatásból eredő </w:t>
      </w:r>
      <w:r w:rsidRPr="00502BC6">
        <w:rPr>
          <w:rFonts w:asciiTheme="majorHAnsi" w:hAnsiTheme="majorHAnsi" w:cs="Arial"/>
        </w:rPr>
        <w:tab/>
        <w:t>visszafizetési kötelezettségének nem tett eleget, a támogatási célt nem valósította meg, vagy megtévesztően nyilatkozott.</w:t>
      </w: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  5. </w:t>
      </w:r>
      <w:r w:rsidRPr="00502BC6">
        <w:rPr>
          <w:rFonts w:asciiTheme="majorHAnsi" w:hAnsiTheme="majorHAnsi" w:cs="Arial"/>
        </w:rPr>
        <w:tab/>
        <w:t>Kapcsolt vállalkozások közül csak egy pályázó részesülhet támogatásban.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sz w:val="22"/>
        </w:rPr>
      </w:pP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Fent megnevezett feltételeknek együttesen kell fennállniuk, bármelyik hiánya pályázat érdemi vizsgálat nélküli kizárását eredményezi a pályázati körből.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sz w:val="22"/>
        </w:rPr>
      </w:pP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  <w:b/>
        </w:rPr>
      </w:pPr>
      <w:r w:rsidRPr="00502BC6">
        <w:rPr>
          <w:rFonts w:asciiTheme="majorHAnsi" w:hAnsiTheme="majorHAnsi" w:cs="Arial"/>
          <w:b/>
        </w:rPr>
        <w:t xml:space="preserve">V., </w:t>
      </w:r>
      <w:proofErr w:type="gramStart"/>
      <w:r w:rsidRPr="00502BC6">
        <w:rPr>
          <w:rFonts w:asciiTheme="majorHAnsi" w:hAnsiTheme="majorHAnsi" w:cs="Arial"/>
          <w:b/>
        </w:rPr>
        <w:t>A</w:t>
      </w:r>
      <w:proofErr w:type="gramEnd"/>
      <w:r w:rsidRPr="00502BC6">
        <w:rPr>
          <w:rFonts w:asciiTheme="majorHAnsi" w:hAnsiTheme="majorHAnsi" w:cs="Arial"/>
          <w:b/>
        </w:rPr>
        <w:t xml:space="preserve"> pályázat benyújtásának tartalmi és formai követelményei: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sz w:val="22"/>
        </w:rPr>
      </w:pP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A pályázaton való részvétel részletes feltételeit, a pályázat benyújtásának tartalmi és formai követelményeit, a pályázat elbírálásának szempontjait a Pályázati Útmutató (csomag) tartalmazza.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sz w:val="22"/>
        </w:rPr>
      </w:pP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Pályázatot benyújtani cégszerűen aláírt papír alapú formában lehet, </w:t>
      </w:r>
      <w:r w:rsidRPr="00502BC6">
        <w:rPr>
          <w:rFonts w:asciiTheme="majorHAnsi" w:hAnsiTheme="majorHAnsi" w:cs="Arial"/>
          <w:b/>
        </w:rPr>
        <w:t xml:space="preserve">3 példányban </w:t>
      </w:r>
      <w:r w:rsidRPr="00502BC6">
        <w:rPr>
          <w:rFonts w:asciiTheme="majorHAnsi" w:hAnsiTheme="majorHAnsi" w:cs="Arial"/>
        </w:rPr>
        <w:t xml:space="preserve">(1 eredeti és 2 másolat) </w:t>
      </w:r>
      <w:proofErr w:type="gramStart"/>
      <w:r w:rsidRPr="00502BC6">
        <w:rPr>
          <w:rFonts w:asciiTheme="majorHAnsi" w:hAnsiTheme="majorHAnsi" w:cs="Arial"/>
        </w:rPr>
        <w:t>a</w:t>
      </w:r>
      <w:proofErr w:type="gramEnd"/>
      <w:r w:rsidRPr="00502BC6">
        <w:rPr>
          <w:rFonts w:asciiTheme="majorHAnsi" w:hAnsiTheme="majorHAnsi" w:cs="Arial"/>
        </w:rPr>
        <w:t xml:space="preserve"> Algyői Polgármesteri Hivataltól átvett, letöltött vagy elektronikus postán (e-mail) kapott Pályázati Útmutató csomag alapján. Nem kötelező, de a pályázat gyorsabb elbírálása érdekében ajánlott a komplett pályázat elektronikus postán (e-mailben) történő benyújtása a </w:t>
      </w:r>
      <w:hyperlink r:id="rId6" w:history="1">
        <w:r w:rsidRPr="00502BC6">
          <w:rPr>
            <w:rStyle w:val="Hiperhivatkozs"/>
            <w:rFonts w:asciiTheme="majorHAnsi" w:hAnsiTheme="majorHAnsi" w:cs="Arial"/>
          </w:rPr>
          <w:t>palyazat@algyo.hu</w:t>
        </w:r>
      </w:hyperlink>
      <w:r w:rsidRPr="00502BC6">
        <w:rPr>
          <w:rFonts w:asciiTheme="majorHAnsi" w:hAnsiTheme="majorHAnsi" w:cs="Arial"/>
        </w:rPr>
        <w:t xml:space="preserve"> címre.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sz w:val="22"/>
        </w:rPr>
      </w:pP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A pályázati csomag beszerezhető: Algyői Polgármesteri Hivatal Fejlesztési és Üzemeltetési Csoport (6750 Algyő Kastélykert u. 40.), illetve letölthető a </w:t>
      </w:r>
      <w:hyperlink r:id="rId7" w:history="1">
        <w:r w:rsidRPr="00502BC6">
          <w:rPr>
            <w:rStyle w:val="Hiperhivatkozs"/>
            <w:rFonts w:asciiTheme="majorHAnsi" w:hAnsiTheme="majorHAnsi" w:cs="Arial"/>
          </w:rPr>
          <w:t>www.algyo.hu</w:t>
        </w:r>
      </w:hyperlink>
      <w:r w:rsidRPr="00502BC6">
        <w:rPr>
          <w:rFonts w:asciiTheme="majorHAnsi" w:hAnsiTheme="majorHAnsi" w:cs="Arial"/>
        </w:rPr>
        <w:t xml:space="preserve"> honlapról.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sz w:val="22"/>
        </w:rPr>
      </w:pP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  <w:b/>
        </w:rPr>
      </w:pPr>
      <w:r w:rsidRPr="00502BC6">
        <w:rPr>
          <w:rFonts w:asciiTheme="majorHAnsi" w:hAnsiTheme="majorHAnsi" w:cs="Arial"/>
          <w:b/>
        </w:rPr>
        <w:t>VI., Általános feltételek: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sz w:val="22"/>
        </w:rPr>
      </w:pP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 1.</w:t>
      </w:r>
      <w:r w:rsidRPr="00502BC6">
        <w:rPr>
          <w:rFonts w:asciiTheme="majorHAnsi" w:hAnsiTheme="majorHAnsi" w:cs="Arial"/>
        </w:rPr>
        <w:tab/>
        <w:t>Alaponként – egy fordulóban – egy pályázó csak egy pályázatot nyújthat be.</w:t>
      </w: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 2. </w:t>
      </w:r>
      <w:r w:rsidRPr="00502BC6">
        <w:rPr>
          <w:rFonts w:asciiTheme="majorHAnsi" w:hAnsiTheme="majorHAnsi" w:cs="Arial"/>
        </w:rPr>
        <w:tab/>
        <w:t xml:space="preserve">Azok a pályázók, akik 5 éven belül már kétszer részesültek támogatásban, abban az esetben </w:t>
      </w:r>
      <w:r w:rsidRPr="00502BC6">
        <w:rPr>
          <w:rFonts w:asciiTheme="majorHAnsi" w:hAnsiTheme="majorHAnsi" w:cs="Arial"/>
        </w:rPr>
        <w:tab/>
        <w:t>részesülhetnek újból, amennyiben a pályázat benyújtásakor maximum 2 folyamatban lévő, vissza nem fizetett támogatásuk van, illetve forráshiány miatt egyéb pályázat nem kerül elutasításra.</w:t>
      </w: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 3. </w:t>
      </w:r>
      <w:r w:rsidRPr="00502BC6">
        <w:rPr>
          <w:rFonts w:asciiTheme="majorHAnsi" w:hAnsiTheme="majorHAnsi" w:cs="Arial"/>
        </w:rPr>
        <w:tab/>
        <w:t>Előnyt élveznek azok a pályázók, akik még nem részesültek támogatásban.</w:t>
      </w: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 4.</w:t>
      </w:r>
      <w:r w:rsidRPr="00502BC6">
        <w:rPr>
          <w:rFonts w:asciiTheme="majorHAnsi" w:hAnsiTheme="majorHAnsi" w:cs="Arial"/>
        </w:rPr>
        <w:tab/>
        <w:t>Pályázónként a kint lévő aktuális támogatás összege együttesen nem haladhatja meg a 8 millió Ft-ot.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sz w:val="22"/>
        </w:rPr>
      </w:pP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  <w:b/>
        </w:rPr>
      </w:pPr>
      <w:r w:rsidRPr="00502BC6">
        <w:rPr>
          <w:rFonts w:asciiTheme="majorHAnsi" w:hAnsiTheme="majorHAnsi" w:cs="Arial"/>
          <w:b/>
        </w:rPr>
        <w:t>A pályázónak a Rendelet 7. és 16. §</w:t>
      </w:r>
      <w:proofErr w:type="spellStart"/>
      <w:r w:rsidRPr="00502BC6">
        <w:rPr>
          <w:rFonts w:asciiTheme="majorHAnsi" w:hAnsiTheme="majorHAnsi" w:cs="Arial"/>
          <w:b/>
        </w:rPr>
        <w:t>-ában</w:t>
      </w:r>
      <w:proofErr w:type="spellEnd"/>
      <w:r w:rsidRPr="00502BC6">
        <w:rPr>
          <w:rFonts w:asciiTheme="majorHAnsi" w:hAnsiTheme="majorHAnsi" w:cs="Arial"/>
          <w:b/>
        </w:rPr>
        <w:t xml:space="preserve"> foglalt csekély összegű támogatási szabályok figyelembe vételével nyújtható támogatás.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sz w:val="22"/>
        </w:rPr>
      </w:pP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  <w:b/>
        </w:rPr>
      </w:pPr>
      <w:r w:rsidRPr="00502BC6">
        <w:rPr>
          <w:rFonts w:asciiTheme="majorHAnsi" w:hAnsiTheme="majorHAnsi" w:cs="Arial"/>
          <w:b/>
        </w:rPr>
        <w:t xml:space="preserve">VII., </w:t>
      </w:r>
      <w:proofErr w:type="gramStart"/>
      <w:r w:rsidRPr="00502BC6">
        <w:rPr>
          <w:rFonts w:asciiTheme="majorHAnsi" w:hAnsiTheme="majorHAnsi" w:cs="Arial"/>
          <w:b/>
        </w:rPr>
        <w:t>A</w:t>
      </w:r>
      <w:proofErr w:type="gramEnd"/>
      <w:r w:rsidRPr="00502BC6">
        <w:rPr>
          <w:rFonts w:asciiTheme="majorHAnsi" w:hAnsiTheme="majorHAnsi" w:cs="Arial"/>
          <w:b/>
        </w:rPr>
        <w:t xml:space="preserve"> pályázat beérkezésének és elbírálásának határideje: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b/>
          <w:sz w:val="22"/>
        </w:rPr>
      </w:pP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A pályázat beérkezésének határideje: </w:t>
      </w:r>
      <w:r w:rsidRPr="00502BC6">
        <w:rPr>
          <w:rFonts w:asciiTheme="majorHAnsi" w:hAnsiTheme="majorHAnsi" w:cs="Arial"/>
          <w:i/>
        </w:rPr>
        <w:t>a mindenkor érvényes kiírás szerint</w:t>
      </w: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A pályázat beadásának helye/postai címe:</w:t>
      </w: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Algyői Polgármesteri Hivatal, 6750 Algyő, Kastélykert u. 40.</w:t>
      </w:r>
    </w:p>
    <w:p w:rsidR="003A628C" w:rsidRPr="00502BC6" w:rsidRDefault="003A628C" w:rsidP="003A628C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A pályázat benyújtására nyitva álló határidő elmulasztása esetén igazolási kérelemnek nincs helye. A pályázat keretében egyszeri hiánypótlásra van lehetőség, a hiánypótlásra felszólító levél átvételét követő 10 naptári napon belül. Ennek elmaradása a pályázatból való kizárást eredményezi. A hiánypótlás határidejének meghosszabbítására nincs mód.</w:t>
      </w:r>
    </w:p>
    <w:p w:rsidR="003A628C" w:rsidRPr="00DE09DF" w:rsidRDefault="003A628C" w:rsidP="003A628C">
      <w:pPr>
        <w:pStyle w:val="Nincstrkz"/>
        <w:jc w:val="both"/>
        <w:rPr>
          <w:rFonts w:asciiTheme="majorHAnsi" w:hAnsiTheme="majorHAnsi" w:cs="Arial"/>
          <w:b/>
          <w:sz w:val="22"/>
        </w:rPr>
      </w:pPr>
    </w:p>
    <w:p w:rsidR="008808F0" w:rsidRDefault="003A628C" w:rsidP="003A628C">
      <w:r w:rsidRPr="00502BC6">
        <w:rPr>
          <w:rFonts w:asciiTheme="majorHAnsi" w:hAnsiTheme="majorHAnsi" w:cs="Arial"/>
        </w:rPr>
        <w:t>A benyújtott pályázatokat Algyő Nagyközség Képviselő-testülete bírálja el és hoz döntést, a mellette működő Bizottság javaslatát figyelembe véve.</w:t>
      </w:r>
      <w:bookmarkStart w:id="0" w:name="_GoBack"/>
      <w:bookmarkEnd w:id="0"/>
    </w:p>
    <w:sectPr w:rsidR="00880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B7FF5"/>
    <w:multiLevelType w:val="hybridMultilevel"/>
    <w:tmpl w:val="0A6AD21A"/>
    <w:lvl w:ilvl="0" w:tplc="B9E0415C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Arial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2A"/>
    <w:rsid w:val="000014CC"/>
    <w:rsid w:val="00027C55"/>
    <w:rsid w:val="00094014"/>
    <w:rsid w:val="000D58E5"/>
    <w:rsid w:val="001243B7"/>
    <w:rsid w:val="0019500B"/>
    <w:rsid w:val="001B19AC"/>
    <w:rsid w:val="00212C2A"/>
    <w:rsid w:val="00245F87"/>
    <w:rsid w:val="003A628C"/>
    <w:rsid w:val="004E58C2"/>
    <w:rsid w:val="00605ECD"/>
    <w:rsid w:val="00611428"/>
    <w:rsid w:val="00647014"/>
    <w:rsid w:val="00736319"/>
    <w:rsid w:val="00752A5B"/>
    <w:rsid w:val="0075624D"/>
    <w:rsid w:val="008164D5"/>
    <w:rsid w:val="0082489D"/>
    <w:rsid w:val="00873138"/>
    <w:rsid w:val="008808F0"/>
    <w:rsid w:val="008C2B41"/>
    <w:rsid w:val="009F1FB2"/>
    <w:rsid w:val="00B02CF3"/>
    <w:rsid w:val="00B274E7"/>
    <w:rsid w:val="00C75EDA"/>
    <w:rsid w:val="00D30795"/>
    <w:rsid w:val="00D821FD"/>
    <w:rsid w:val="00DA79A0"/>
    <w:rsid w:val="00E0239E"/>
    <w:rsid w:val="00E866E5"/>
    <w:rsid w:val="00E93690"/>
    <w:rsid w:val="00ED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Arial"/>
        <w:color w:val="000000"/>
        <w:sz w:val="24"/>
        <w:szCs w:val="24"/>
        <w:lang w:val="hu-H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628C"/>
    <w:pPr>
      <w:spacing w:line="276" w:lineRule="auto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A628C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</w:rPr>
  </w:style>
  <w:style w:type="paragraph" w:styleId="Nincstrkz">
    <w:name w:val="No Spacing"/>
    <w:uiPriority w:val="1"/>
    <w:qFormat/>
    <w:rsid w:val="003A628C"/>
    <w:pPr>
      <w:spacing w:after="0"/>
      <w:jc w:val="left"/>
    </w:pPr>
    <w:rPr>
      <w:rFonts w:ascii="Times New Roman" w:eastAsia="Times New Roman" w:hAnsi="Times New Roman" w:cs="Times New Roman"/>
      <w:color w:val="auto"/>
      <w:lang w:eastAsia="hu-HU"/>
    </w:rPr>
  </w:style>
  <w:style w:type="character" w:styleId="Hiperhivatkozs">
    <w:name w:val="Hyperlink"/>
    <w:uiPriority w:val="99"/>
    <w:semiHidden/>
    <w:unhideWhenUsed/>
    <w:rsid w:val="003A62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Arial"/>
        <w:color w:val="000000"/>
        <w:sz w:val="24"/>
        <w:szCs w:val="24"/>
        <w:lang w:val="hu-H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628C"/>
    <w:pPr>
      <w:spacing w:line="276" w:lineRule="auto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A628C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</w:rPr>
  </w:style>
  <w:style w:type="paragraph" w:styleId="Nincstrkz">
    <w:name w:val="No Spacing"/>
    <w:uiPriority w:val="1"/>
    <w:qFormat/>
    <w:rsid w:val="003A628C"/>
    <w:pPr>
      <w:spacing w:after="0"/>
      <w:jc w:val="left"/>
    </w:pPr>
    <w:rPr>
      <w:rFonts w:ascii="Times New Roman" w:eastAsia="Times New Roman" w:hAnsi="Times New Roman" w:cs="Times New Roman"/>
      <w:color w:val="auto"/>
      <w:lang w:eastAsia="hu-HU"/>
    </w:rPr>
  </w:style>
  <w:style w:type="character" w:styleId="Hiperhivatkozs">
    <w:name w:val="Hyperlink"/>
    <w:uiPriority w:val="99"/>
    <w:semiHidden/>
    <w:unhideWhenUsed/>
    <w:rsid w:val="003A62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lgyo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@algyo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7054</Characters>
  <Application>Microsoft Office Word</Application>
  <DocSecurity>0</DocSecurity>
  <Lines>58</Lines>
  <Paragraphs>16</Paragraphs>
  <ScaleCrop>false</ScaleCrop>
  <Company/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jegyzőség</dc:creator>
  <cp:keywords/>
  <dc:description/>
  <cp:lastModifiedBy>jegyzőség</cp:lastModifiedBy>
  <cp:revision>2</cp:revision>
  <dcterms:created xsi:type="dcterms:W3CDTF">2016-10-14T10:45:00Z</dcterms:created>
  <dcterms:modified xsi:type="dcterms:W3CDTF">2016-10-14T10:45:00Z</dcterms:modified>
</cp:coreProperties>
</file>