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F34" w:rsidRDefault="00A31F34" w:rsidP="00A31F34">
      <w:pPr>
        <w:rPr>
          <w:sz w:val="22"/>
          <w:szCs w:val="22"/>
        </w:rPr>
      </w:pPr>
    </w:p>
    <w:p w:rsidR="00A31F34" w:rsidRPr="00F45F2C" w:rsidRDefault="00A31F34" w:rsidP="00A31F34">
      <w:pPr>
        <w:autoSpaceDE w:val="0"/>
        <w:autoSpaceDN w:val="0"/>
        <w:adjustRightInd w:val="0"/>
        <w:ind w:left="204"/>
        <w:jc w:val="center"/>
        <w:rPr>
          <w:b/>
          <w:sz w:val="22"/>
          <w:szCs w:val="22"/>
        </w:rPr>
      </w:pPr>
      <w:r w:rsidRPr="00F45F2C">
        <w:rPr>
          <w:b/>
          <w:sz w:val="22"/>
          <w:szCs w:val="22"/>
        </w:rPr>
        <w:t>INDOKOLÁS</w:t>
      </w:r>
    </w:p>
    <w:p w:rsidR="00A31F34" w:rsidRPr="00F45F2C" w:rsidRDefault="00A31F34" w:rsidP="00A31F34">
      <w:pPr>
        <w:autoSpaceDE w:val="0"/>
        <w:autoSpaceDN w:val="0"/>
        <w:adjustRightInd w:val="0"/>
        <w:ind w:firstLine="204"/>
        <w:jc w:val="center"/>
        <w:rPr>
          <w:b/>
          <w:sz w:val="22"/>
          <w:szCs w:val="22"/>
        </w:rPr>
      </w:pPr>
    </w:p>
    <w:p w:rsidR="00A31F34" w:rsidRPr="00F45F2C" w:rsidRDefault="00A31F34" w:rsidP="00A31F34">
      <w:pPr>
        <w:autoSpaceDE w:val="0"/>
        <w:autoSpaceDN w:val="0"/>
        <w:adjustRightInd w:val="0"/>
        <w:ind w:firstLine="204"/>
        <w:jc w:val="center"/>
        <w:rPr>
          <w:b/>
          <w:sz w:val="22"/>
          <w:szCs w:val="22"/>
        </w:rPr>
      </w:pPr>
    </w:p>
    <w:p w:rsidR="00A31F34" w:rsidRPr="00F45F2C" w:rsidRDefault="00A31F34" w:rsidP="00A31F34">
      <w:pPr>
        <w:autoSpaceDE w:val="0"/>
        <w:autoSpaceDN w:val="0"/>
        <w:adjustRightInd w:val="0"/>
        <w:ind w:firstLine="204"/>
        <w:jc w:val="center"/>
        <w:rPr>
          <w:i/>
          <w:sz w:val="22"/>
          <w:szCs w:val="22"/>
        </w:rPr>
      </w:pPr>
      <w:r w:rsidRPr="00F45F2C">
        <w:rPr>
          <w:i/>
          <w:sz w:val="22"/>
          <w:szCs w:val="22"/>
        </w:rPr>
        <w:t>Általános indokolás</w:t>
      </w:r>
    </w:p>
    <w:p w:rsidR="00A31F34" w:rsidRPr="00F45F2C" w:rsidRDefault="00A31F34" w:rsidP="00A31F34">
      <w:pPr>
        <w:autoSpaceDE w:val="0"/>
        <w:autoSpaceDN w:val="0"/>
        <w:adjustRightInd w:val="0"/>
        <w:ind w:firstLine="204"/>
        <w:jc w:val="center"/>
        <w:rPr>
          <w:b/>
          <w:sz w:val="22"/>
          <w:szCs w:val="22"/>
        </w:rPr>
      </w:pPr>
    </w:p>
    <w:p w:rsidR="00A31F34" w:rsidRPr="00F45F2C" w:rsidRDefault="00A31F34" w:rsidP="00A31F34">
      <w:pPr>
        <w:jc w:val="both"/>
        <w:rPr>
          <w:sz w:val="22"/>
          <w:szCs w:val="22"/>
        </w:rPr>
      </w:pPr>
      <w:r w:rsidRPr="00F45F2C">
        <w:rPr>
          <w:sz w:val="22"/>
          <w:szCs w:val="22"/>
        </w:rPr>
        <w:t>A gyermekek védelméről szóló 1997. évi XXXI. törvény 151. § (2f) bekezdése szerint, ha a települési önkormányzat biztosítja a gyermekétkeztetést, akkor a gyermekétkeztetés térítési díjait a települési önkormányzat állapítja meg.</w:t>
      </w:r>
    </w:p>
    <w:p w:rsidR="00A31F34" w:rsidRPr="00F45F2C" w:rsidRDefault="00A31F34" w:rsidP="00A31F34">
      <w:pPr>
        <w:jc w:val="both"/>
        <w:rPr>
          <w:sz w:val="22"/>
          <w:szCs w:val="22"/>
        </w:rPr>
      </w:pPr>
    </w:p>
    <w:p w:rsidR="00A31F34" w:rsidRPr="00F45F2C" w:rsidRDefault="00A31F34" w:rsidP="00A31F34">
      <w:pPr>
        <w:pStyle w:val="Szvegtrzs"/>
        <w:jc w:val="both"/>
        <w:rPr>
          <w:sz w:val="22"/>
          <w:szCs w:val="22"/>
        </w:rPr>
      </w:pPr>
      <w:r w:rsidRPr="00F45F2C">
        <w:rPr>
          <w:sz w:val="22"/>
          <w:szCs w:val="22"/>
        </w:rPr>
        <w:t>Szakmár Község Önkormányzata Képviselő-testületének a gyermekek védelméről szóló önkormányzati rendelete módosításának célja a 2020. május 1. napjától esedékes gyermekétkeztetéssel összefüggő nyersanyagnorma/térítési díj megállapítása, melynek megemelését a leggyakrabban használt alapanyagok árainak esetében bekövetkező jelentős emelkedés indokolja.</w:t>
      </w:r>
    </w:p>
    <w:p w:rsidR="00A31F34" w:rsidRPr="00F45F2C" w:rsidRDefault="00A31F34" w:rsidP="00A31F34">
      <w:pPr>
        <w:jc w:val="both"/>
        <w:rPr>
          <w:sz w:val="22"/>
          <w:szCs w:val="22"/>
        </w:rPr>
      </w:pPr>
    </w:p>
    <w:p w:rsidR="00A31F34" w:rsidRPr="00F45F2C" w:rsidRDefault="00A31F34" w:rsidP="00A31F34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A31F34" w:rsidRPr="00F45F2C" w:rsidRDefault="00A31F34" w:rsidP="00A31F34">
      <w:pPr>
        <w:autoSpaceDE w:val="0"/>
        <w:autoSpaceDN w:val="0"/>
        <w:adjustRightInd w:val="0"/>
        <w:ind w:firstLine="204"/>
        <w:jc w:val="center"/>
        <w:rPr>
          <w:i/>
          <w:sz w:val="22"/>
          <w:szCs w:val="22"/>
        </w:rPr>
      </w:pPr>
      <w:r w:rsidRPr="00F45F2C">
        <w:rPr>
          <w:i/>
          <w:sz w:val="22"/>
          <w:szCs w:val="22"/>
        </w:rPr>
        <w:t>Részletes indokolás</w:t>
      </w:r>
    </w:p>
    <w:p w:rsidR="00A31F34" w:rsidRPr="00F45F2C" w:rsidRDefault="00A31F34" w:rsidP="00A31F3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31F34" w:rsidRPr="00F45F2C" w:rsidRDefault="00A31F34" w:rsidP="00A31F3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31F34" w:rsidRPr="00F45F2C" w:rsidRDefault="00A31F34" w:rsidP="00A31F3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45F2C">
        <w:rPr>
          <w:b/>
          <w:sz w:val="22"/>
          <w:szCs w:val="22"/>
        </w:rPr>
        <w:t>1. §-hoz</w:t>
      </w:r>
    </w:p>
    <w:p w:rsidR="00A31F34" w:rsidRPr="00F45F2C" w:rsidRDefault="00A31F34" w:rsidP="00A31F3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31F34" w:rsidRPr="00F45F2C" w:rsidRDefault="00A31F34" w:rsidP="00A31F34">
      <w:pPr>
        <w:jc w:val="both"/>
        <w:rPr>
          <w:sz w:val="22"/>
          <w:szCs w:val="22"/>
        </w:rPr>
      </w:pPr>
      <w:r w:rsidRPr="00F45F2C">
        <w:rPr>
          <w:sz w:val="22"/>
          <w:szCs w:val="22"/>
        </w:rPr>
        <w:t>A gyermekétkeztetés (általános iskola, óvoda) intézményi nyersanyagnormáját</w:t>
      </w:r>
      <w:r>
        <w:rPr>
          <w:sz w:val="22"/>
          <w:szCs w:val="22"/>
        </w:rPr>
        <w:t xml:space="preserve"> és térítési díját</w:t>
      </w:r>
      <w:r w:rsidRPr="00F45F2C">
        <w:rPr>
          <w:sz w:val="22"/>
          <w:szCs w:val="22"/>
        </w:rPr>
        <w:t xml:space="preserve"> határozza meg tízórai, ebéd, uzsonna szerinti bontásban 2020. május 1. napjától kezdődően.</w:t>
      </w:r>
    </w:p>
    <w:p w:rsidR="00A31F34" w:rsidRPr="00F45F2C" w:rsidRDefault="00A31F34" w:rsidP="00A31F3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31F34" w:rsidRPr="00F45F2C" w:rsidRDefault="00A31F34" w:rsidP="00A31F3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45F2C">
        <w:rPr>
          <w:b/>
          <w:sz w:val="22"/>
          <w:szCs w:val="22"/>
        </w:rPr>
        <w:t xml:space="preserve">2. §-hoz </w:t>
      </w:r>
    </w:p>
    <w:p w:rsidR="00A31F34" w:rsidRPr="00F45F2C" w:rsidRDefault="00A31F34" w:rsidP="00A31F3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31F34" w:rsidRPr="00F45F2C" w:rsidRDefault="00A31F34" w:rsidP="00A31F3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45F2C">
        <w:rPr>
          <w:sz w:val="22"/>
          <w:szCs w:val="22"/>
        </w:rPr>
        <w:t>A hatályba léptető és hatályon kívül helyező rendelkezéseket tartalmazza a rendelet.</w:t>
      </w:r>
      <w:r w:rsidRPr="00F45F2C">
        <w:rPr>
          <w:b/>
          <w:sz w:val="22"/>
          <w:szCs w:val="22"/>
        </w:rPr>
        <w:t xml:space="preserve">  </w:t>
      </w:r>
    </w:p>
    <w:p w:rsidR="00A31F34" w:rsidRDefault="00A31F34"/>
    <w:sectPr w:rsidR="00A3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34"/>
    <w:rsid w:val="00A3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B70EE-7287-4F42-A2C0-646D6691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1F3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31F3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31F34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817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2020-07-07T09:23:00Z</dcterms:created>
  <dcterms:modified xsi:type="dcterms:W3CDTF">2020-07-07T09:24:00Z</dcterms:modified>
</cp:coreProperties>
</file>