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440"/>
        <w:gridCol w:w="960"/>
        <w:gridCol w:w="960"/>
        <w:gridCol w:w="960"/>
        <w:gridCol w:w="960"/>
      </w:tblGrid>
      <w:tr w:rsidR="00DB1C15" w:rsidRPr="00DB1C15" w:rsidTr="00DB1C1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C4A7B" w:rsidRDefault="00DB1C15">
      <w:r>
        <w:t>5.1 melléklet az 1/2020 (II.12)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9"/>
        <w:gridCol w:w="4856"/>
        <w:gridCol w:w="997"/>
        <w:gridCol w:w="752"/>
        <w:gridCol w:w="660"/>
        <w:gridCol w:w="1228"/>
      </w:tblGrid>
      <w:tr w:rsidR="00DB1C15" w:rsidRPr="00DB1C15" w:rsidTr="00DB1C15">
        <w:trPr>
          <w:trHeight w:val="300"/>
        </w:trPr>
        <w:tc>
          <w:tcPr>
            <w:tcW w:w="3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szerv megnevezése: </w:t>
            </w:r>
            <w:proofErr w:type="spellStart"/>
            <w:proofErr w:type="gramStart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Bükszentkereszti</w:t>
            </w:r>
            <w:proofErr w:type="spellEnd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Szlovák</w:t>
            </w:r>
            <w:proofErr w:type="gramEnd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Nemzetiségi Óvoda, Konyha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DB1C15" w:rsidRPr="00DB1C15" w:rsidTr="00DB1C15">
        <w:trPr>
          <w:trHeight w:val="121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10000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B6. Működési célú átvett </w:t>
            </w:r>
            <w:proofErr w:type="gramStart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pénzeszközök(</w:t>
            </w:r>
            <w:proofErr w:type="gramEnd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pénzmaradvány)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73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12073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465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46577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46577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56650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B1C15" w:rsidRPr="00DB1C15" w:rsidTr="00DB1C15">
        <w:trPr>
          <w:trHeight w:val="3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DB1C15" w:rsidRPr="00DB1C15" w:rsidTr="00DB1C15">
        <w:trPr>
          <w:trHeight w:val="127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56650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56650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31492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31492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III.2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5158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5158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20000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56650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DB1C15" w:rsidRPr="00DB1C15" w:rsidTr="00DB1C15">
        <w:trPr>
          <w:trHeight w:val="60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56650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B1C15" w:rsidRPr="00DB1C15" w:rsidRDefault="00DB1C15" w:rsidP="00DB1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B1C15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</w:tbl>
    <w:p w:rsidR="00DB1C15" w:rsidRDefault="00DB1C15"/>
    <w:sectPr w:rsidR="00DB1C15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C15"/>
    <w:rsid w:val="00D252E9"/>
    <w:rsid w:val="00DB1C15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2020-02-18T11:07:00Z</dcterms:created>
  <dcterms:modified xsi:type="dcterms:W3CDTF">2020-02-18T11:08:00Z</dcterms:modified>
</cp:coreProperties>
</file>