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EBD" w:rsidRDefault="00612EBD" w:rsidP="00612EBD">
      <w:pPr>
        <w:spacing w:after="0" w:line="259" w:lineRule="auto"/>
        <w:ind w:left="0" w:right="497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t>Általános indoklás</w:t>
      </w:r>
    </w:p>
    <w:p w:rsidR="00612EBD" w:rsidRDefault="00612EBD" w:rsidP="00612EBD">
      <w:pPr>
        <w:spacing w:after="0" w:line="259" w:lineRule="auto"/>
        <w:ind w:left="0" w:right="497" w:firstLine="0"/>
        <w:jc w:val="center"/>
        <w:rPr>
          <w:b/>
          <w:u w:val="single" w:color="000000"/>
        </w:rPr>
      </w:pPr>
    </w:p>
    <w:p w:rsidR="00612EBD" w:rsidRDefault="00612EBD" w:rsidP="00612EBD">
      <w:pPr>
        <w:ind w:left="-5"/>
        <w:rPr>
          <w:b/>
          <w:u w:val="single" w:color="000000"/>
        </w:rPr>
      </w:pPr>
      <w:r>
        <w:t xml:space="preserve">A Borsod-Abaúj-Zemplén Megyei Kormányhivatal 2019. évi ellenőrzési terve alapján ellenőrizte a képviselő-testület működéséről szóló szervezeti és működési szabályzatot. A felülvizsgálat során megállapítást nyert, hogy a jegyző helyettesítését tekintve Magyarország helyi önkormányzatairól szóló 2011. évi CLXXXIX. törvény 82. § (3) bekezdése szerint a jegyzői és aljegyzői tisztség egyidejű </w:t>
      </w:r>
      <w:proofErr w:type="spellStart"/>
      <w:r>
        <w:t>betöltetlensége</w:t>
      </w:r>
      <w:proofErr w:type="spellEnd"/>
      <w:r>
        <w:t xml:space="preserve">, illetve tartós akadályoztatásuk esetére – legfeljebb hat hónap időtartamra – a szervezeti és működési szabályzat rendelkezik a jegyzői feladatok ellátásának módjáról. A jelenleg hatályos szervezeti és működési szabályzat ennek nem felel meg, mert a kormányhivatal vezetője csak betöltetlen jegyzői álláshely esetén nevezhet ki ideiglenes jelleggel jegyzőt hat hónap elteltével, a kormányhivatal vezetőjének nincs kinevezési jogköre az egyidejű </w:t>
      </w:r>
      <w:proofErr w:type="spellStart"/>
      <w:r>
        <w:t>betöltetlenség</w:t>
      </w:r>
      <w:proofErr w:type="spellEnd"/>
      <w:r>
        <w:t>, illetve a tartós akadályoztatás esetében. Ezért célszerű a rendelet-tervezet szerinti módosítást végrehajtani.</w:t>
      </w:r>
    </w:p>
    <w:p w:rsidR="00612EBD" w:rsidRDefault="00612EBD" w:rsidP="00612EBD">
      <w:pPr>
        <w:spacing w:after="0" w:line="259" w:lineRule="auto"/>
        <w:ind w:left="0" w:right="497" w:firstLine="0"/>
        <w:jc w:val="center"/>
        <w:rPr>
          <w:b/>
          <w:u w:val="single" w:color="000000"/>
        </w:rPr>
      </w:pPr>
    </w:p>
    <w:p w:rsidR="00612EBD" w:rsidRDefault="00612EBD" w:rsidP="00612EBD">
      <w:pPr>
        <w:spacing w:after="0" w:line="259" w:lineRule="auto"/>
        <w:ind w:left="0" w:right="497" w:firstLine="0"/>
        <w:jc w:val="center"/>
        <w:rPr>
          <w:b/>
          <w:u w:val="single" w:color="000000"/>
        </w:rPr>
      </w:pPr>
    </w:p>
    <w:p w:rsidR="00612EBD" w:rsidRDefault="00612EBD" w:rsidP="00612EBD">
      <w:pPr>
        <w:spacing w:after="0" w:line="259" w:lineRule="auto"/>
        <w:ind w:left="0" w:right="497" w:firstLine="0"/>
        <w:jc w:val="center"/>
      </w:pPr>
      <w:r>
        <w:rPr>
          <w:b/>
          <w:u w:val="single" w:color="000000"/>
        </w:rPr>
        <w:t>Részletes indoklás</w:t>
      </w:r>
      <w:r>
        <w:rPr>
          <w:b/>
        </w:rPr>
        <w:t xml:space="preserve">  </w:t>
      </w:r>
    </w:p>
    <w:p w:rsidR="00612EBD" w:rsidRDefault="00612EBD" w:rsidP="00612EBD">
      <w:pPr>
        <w:spacing w:after="0" w:line="259" w:lineRule="auto"/>
        <w:ind w:left="0" w:firstLine="0"/>
        <w:jc w:val="left"/>
      </w:pPr>
      <w:r>
        <w:t xml:space="preserve"> </w:t>
      </w:r>
    </w:p>
    <w:p w:rsidR="00612EBD" w:rsidRDefault="00612EBD" w:rsidP="00612EBD">
      <w:pPr>
        <w:ind w:left="-5"/>
        <w:jc w:val="center"/>
      </w:pPr>
      <w:r>
        <w:t>1. §</w:t>
      </w:r>
    </w:p>
    <w:p w:rsidR="00612EBD" w:rsidRDefault="00612EBD" w:rsidP="00612EBD">
      <w:pPr>
        <w:ind w:left="-5"/>
      </w:pPr>
    </w:p>
    <w:p w:rsidR="00612EBD" w:rsidRDefault="00612EBD" w:rsidP="00612EBD">
      <w:pPr>
        <w:ind w:left="-5"/>
      </w:pPr>
      <w:r>
        <w:t>A módosító rendelkezést tartalmazza, melynek célja a magasabb szintű jogszabálynak történő megfelelés biztosítása.</w:t>
      </w:r>
    </w:p>
    <w:p w:rsidR="00612EBD" w:rsidRDefault="00612EBD" w:rsidP="00612EBD">
      <w:pPr>
        <w:ind w:left="-5"/>
      </w:pPr>
    </w:p>
    <w:p w:rsidR="00612EBD" w:rsidRDefault="00612EBD" w:rsidP="00612EBD">
      <w:pPr>
        <w:ind w:left="-5"/>
        <w:jc w:val="center"/>
      </w:pPr>
      <w:r>
        <w:t>2.§</w:t>
      </w:r>
    </w:p>
    <w:p w:rsidR="00612EBD" w:rsidRDefault="00612EBD" w:rsidP="00612EBD">
      <w:pPr>
        <w:ind w:left="-5"/>
      </w:pPr>
    </w:p>
    <w:p w:rsidR="00612EBD" w:rsidRDefault="00612EBD" w:rsidP="00612EBD">
      <w:pPr>
        <w:ind w:left="-5"/>
      </w:pPr>
      <w:r>
        <w:t>Hatályon kívül helyezendő rendelkezést tartalmazza.</w:t>
      </w:r>
    </w:p>
    <w:p w:rsidR="00612EBD" w:rsidRDefault="00612EBD" w:rsidP="00612EBD">
      <w:pPr>
        <w:ind w:left="-5"/>
      </w:pPr>
    </w:p>
    <w:p w:rsidR="00612EBD" w:rsidRDefault="00612EBD" w:rsidP="00612EBD">
      <w:pPr>
        <w:ind w:left="-5"/>
        <w:jc w:val="center"/>
      </w:pPr>
      <w:r>
        <w:t>3.§</w:t>
      </w:r>
    </w:p>
    <w:p w:rsidR="00612EBD" w:rsidRDefault="00612EBD" w:rsidP="00612EBD">
      <w:pPr>
        <w:ind w:left="-5"/>
      </w:pPr>
    </w:p>
    <w:p w:rsidR="00612EBD" w:rsidRDefault="00612EBD" w:rsidP="00612EBD">
      <w:pPr>
        <w:ind w:left="-5"/>
      </w:pPr>
      <w:r>
        <w:t>A hatályba léptető rendelkezést tartalmazza</w:t>
      </w:r>
    </w:p>
    <w:p w:rsidR="00612EBD" w:rsidRDefault="00612EBD" w:rsidP="00612EBD">
      <w:pPr>
        <w:spacing w:after="23" w:line="259" w:lineRule="auto"/>
        <w:ind w:left="0" w:right="611" w:firstLine="0"/>
        <w:jc w:val="center"/>
      </w:pPr>
      <w:r>
        <w:t xml:space="preserve"> </w:t>
      </w:r>
    </w:p>
    <w:p w:rsidR="00612EBD" w:rsidRDefault="00612EBD" w:rsidP="00612EBD">
      <w:pPr>
        <w:spacing w:after="263" w:line="259" w:lineRule="auto"/>
        <w:ind w:left="0" w:firstLine="0"/>
        <w:jc w:val="left"/>
      </w:pPr>
    </w:p>
    <w:p w:rsidR="00612EBD" w:rsidRDefault="00612EBD" w:rsidP="00612EBD">
      <w:pPr>
        <w:spacing w:after="0" w:line="259" w:lineRule="auto"/>
        <w:ind w:left="3233" w:firstLine="0"/>
        <w:jc w:val="left"/>
      </w:pPr>
      <w:r>
        <w:rPr>
          <w:b/>
          <w:color w:val="00000A"/>
        </w:rPr>
        <w:t xml:space="preserve"> </w:t>
      </w:r>
    </w:p>
    <w:p w:rsidR="00612EBD" w:rsidRDefault="00612EBD" w:rsidP="00612EBD">
      <w:pPr>
        <w:spacing w:after="65" w:line="259" w:lineRule="auto"/>
        <w:ind w:left="0" w:right="4905" w:firstLine="0"/>
        <w:jc w:val="right"/>
      </w:pPr>
      <w:r>
        <w:rPr>
          <w:b/>
          <w:color w:val="00000A"/>
        </w:rPr>
        <w:t xml:space="preserve"> </w:t>
      </w:r>
    </w:p>
    <w:p w:rsidR="00612EBD" w:rsidRDefault="00612EBD" w:rsidP="00612EBD">
      <w:pPr>
        <w:spacing w:after="64" w:line="259" w:lineRule="auto"/>
        <w:ind w:left="0" w:right="4900" w:firstLine="0"/>
        <w:jc w:val="right"/>
      </w:pPr>
      <w:r>
        <w:rPr>
          <w:b/>
          <w:color w:val="00000A"/>
        </w:rPr>
        <w:t xml:space="preserve"> </w:t>
      </w:r>
    </w:p>
    <w:p w:rsidR="00957A41" w:rsidRDefault="00957A41">
      <w:bookmarkStart w:id="0" w:name="_GoBack"/>
      <w:bookmarkEnd w:id="0"/>
    </w:p>
    <w:sectPr w:rsidR="00957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A08EB"/>
    <w:multiLevelType w:val="multilevel"/>
    <w:tmpl w:val="75606E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Stlus1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BD"/>
    <w:rsid w:val="003F238A"/>
    <w:rsid w:val="00612EBD"/>
    <w:rsid w:val="0095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048C9-63A5-428C-A1BB-A1408528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2EBD"/>
    <w:pPr>
      <w:spacing w:after="4" w:line="260" w:lineRule="auto"/>
      <w:ind w:left="10" w:hanging="10"/>
      <w:jc w:val="both"/>
    </w:pPr>
    <w:rPr>
      <w:color w:val="000000"/>
      <w:sz w:val="24"/>
      <w:szCs w:val="22"/>
      <w:lang w:eastAsia="hu-HU"/>
    </w:rPr>
  </w:style>
  <w:style w:type="paragraph" w:styleId="Cmsor1">
    <w:name w:val="heading 1"/>
    <w:basedOn w:val="Norml"/>
    <w:next w:val="Norml"/>
    <w:link w:val="Cmsor1Char"/>
    <w:autoRedefine/>
    <w:qFormat/>
    <w:rsid w:val="003F23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adjustRightInd w:val="0"/>
      <w:spacing w:after="0" w:line="240" w:lineRule="auto"/>
      <w:ind w:left="0" w:firstLine="0"/>
      <w:outlineLvl w:val="0"/>
    </w:pPr>
    <w:rPr>
      <w:rFonts w:ascii="Calibri" w:hAnsi="Calibri" w:cs="Arial"/>
      <w:b/>
      <w:bCs/>
      <w:color w:val="auto"/>
      <w:sz w:val="28"/>
      <w:szCs w:val="28"/>
    </w:rPr>
  </w:style>
  <w:style w:type="paragraph" w:styleId="Cmsor2">
    <w:name w:val="heading 2"/>
    <w:basedOn w:val="Norml"/>
    <w:next w:val="Norml"/>
    <w:link w:val="Cmsor2Char"/>
    <w:autoRedefine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tabs>
        <w:tab w:val="left" w:pos="2580"/>
      </w:tabs>
      <w:spacing w:after="0" w:line="240" w:lineRule="auto"/>
      <w:ind w:left="0" w:firstLine="0"/>
      <w:outlineLvl w:val="1"/>
    </w:pPr>
    <w:rPr>
      <w:rFonts w:ascii="Calibri" w:eastAsiaTheme="majorEastAsia" w:hAnsi="Calibri" w:cstheme="majorBidi"/>
      <w:bCs/>
      <w:iCs/>
      <w:color w:val="auto"/>
      <w:sz w:val="28"/>
    </w:rPr>
  </w:style>
  <w:style w:type="paragraph" w:styleId="Cmsor3">
    <w:name w:val="heading 3"/>
    <w:basedOn w:val="Norml"/>
    <w:next w:val="Norml"/>
    <w:link w:val="Cmsor3Char"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ind w:left="0" w:firstLine="0"/>
      <w:jc w:val="left"/>
      <w:outlineLvl w:val="2"/>
    </w:pPr>
    <w:rPr>
      <w:rFonts w:ascii="Calibri" w:hAnsi="Calibri"/>
      <w:b/>
      <w:bCs/>
      <w:color w:val="auto"/>
      <w:szCs w:val="26"/>
    </w:rPr>
  </w:style>
  <w:style w:type="paragraph" w:styleId="Cmsor4">
    <w:name w:val="heading 4"/>
    <w:basedOn w:val="Norml"/>
    <w:next w:val="Norml"/>
    <w:link w:val="Cmsor4Char"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ind w:left="0" w:firstLine="0"/>
      <w:outlineLvl w:val="3"/>
    </w:pPr>
    <w:rPr>
      <w:rFonts w:ascii="Calibri" w:hAnsi="Calibri"/>
      <w:bCs/>
      <w:color w:val="auto"/>
      <w:szCs w:val="28"/>
    </w:rPr>
  </w:style>
  <w:style w:type="paragraph" w:styleId="Cmsor5">
    <w:name w:val="heading 5"/>
    <w:basedOn w:val="Norml"/>
    <w:next w:val="Norml"/>
    <w:link w:val="Cmsor5Char"/>
    <w:qFormat/>
    <w:rsid w:val="003F238A"/>
    <w:pPr>
      <w:spacing w:before="240" w:after="60" w:line="240" w:lineRule="auto"/>
      <w:ind w:left="0" w:firstLine="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3F238A"/>
    <w:pPr>
      <w:spacing w:before="240" w:after="60" w:line="240" w:lineRule="auto"/>
      <w:ind w:left="0" w:firstLine="0"/>
      <w:outlineLvl w:val="5"/>
    </w:pPr>
    <w:rPr>
      <w:rFonts w:ascii="Calibri" w:hAnsi="Calibri"/>
      <w:b/>
      <w:bCs/>
      <w:color w:val="auto"/>
      <w:sz w:val="22"/>
    </w:rPr>
  </w:style>
  <w:style w:type="paragraph" w:styleId="Cmsor7">
    <w:name w:val="heading 7"/>
    <w:basedOn w:val="Norml"/>
    <w:next w:val="Norml"/>
    <w:link w:val="Cmsor7Char"/>
    <w:qFormat/>
    <w:rsid w:val="003F238A"/>
    <w:pPr>
      <w:spacing w:before="240" w:after="60" w:line="240" w:lineRule="auto"/>
      <w:ind w:left="0" w:firstLine="0"/>
      <w:outlineLvl w:val="6"/>
    </w:pPr>
    <w:rPr>
      <w:rFonts w:ascii="Calibri" w:hAnsi="Calibri"/>
      <w:color w:val="auto"/>
      <w:szCs w:val="24"/>
    </w:rPr>
  </w:style>
  <w:style w:type="paragraph" w:styleId="Cmsor8">
    <w:name w:val="heading 8"/>
    <w:basedOn w:val="Norml"/>
    <w:next w:val="Norml"/>
    <w:link w:val="Cmsor8Char"/>
    <w:qFormat/>
    <w:rsid w:val="003F238A"/>
    <w:pPr>
      <w:spacing w:before="240" w:after="60" w:line="240" w:lineRule="auto"/>
      <w:ind w:left="0" w:firstLine="0"/>
      <w:outlineLvl w:val="7"/>
    </w:pPr>
    <w:rPr>
      <w:rFonts w:ascii="Calibri" w:hAnsi="Calibri"/>
      <w:i/>
      <w:iCs/>
      <w:color w:val="auto"/>
      <w:szCs w:val="24"/>
    </w:rPr>
  </w:style>
  <w:style w:type="paragraph" w:styleId="Cmsor9">
    <w:name w:val="heading 9"/>
    <w:basedOn w:val="Norml"/>
    <w:next w:val="Norml"/>
    <w:link w:val="Cmsor9Char"/>
    <w:qFormat/>
    <w:rsid w:val="003F238A"/>
    <w:pPr>
      <w:spacing w:before="240" w:after="60" w:line="240" w:lineRule="auto"/>
      <w:ind w:left="0" w:firstLine="0"/>
      <w:outlineLvl w:val="8"/>
    </w:pPr>
    <w:rPr>
      <w:rFonts w:ascii="Cambria" w:hAnsi="Cambria"/>
      <w:color w:val="auto"/>
      <w:sz w:val="2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rshangslyozs">
    <w:name w:val="Erős hangsúlyozás"/>
    <w:qFormat/>
    <w:rsid w:val="003F238A"/>
    <w:rPr>
      <w:b/>
      <w:bCs/>
      <w:i/>
      <w:iCs/>
      <w:color w:val="4F81BD"/>
    </w:rPr>
  </w:style>
  <w:style w:type="paragraph" w:customStyle="1" w:styleId="Stlus1">
    <w:name w:val="Stílus1"/>
    <w:basedOn w:val="Cmsor2"/>
    <w:link w:val="Stlus1Char"/>
    <w:autoRedefine/>
    <w:qFormat/>
    <w:rsid w:val="003F238A"/>
    <w:pPr>
      <w:numPr>
        <w:ilvl w:val="1"/>
        <w:numId w:val="1"/>
      </w:numPr>
      <w:spacing w:line="360" w:lineRule="auto"/>
    </w:pPr>
  </w:style>
  <w:style w:type="character" w:customStyle="1" w:styleId="Stlus1Char">
    <w:name w:val="Stílus1 Char"/>
    <w:basedOn w:val="Cmsor2Char"/>
    <w:link w:val="Stlus1"/>
    <w:rsid w:val="003F238A"/>
    <w:rPr>
      <w:rFonts w:ascii="Calibri" w:eastAsiaTheme="majorEastAsia" w:hAnsi="Calibri" w:cstheme="majorBidi"/>
      <w:bCs/>
      <w:iCs/>
      <w:sz w:val="28"/>
      <w:szCs w:val="22"/>
      <w:shd w:val="clear" w:color="auto" w:fill="FFFFFF"/>
      <w:lang w:eastAsia="hu-HU"/>
    </w:rPr>
  </w:style>
  <w:style w:type="character" w:customStyle="1" w:styleId="Cmsor2Char">
    <w:name w:val="Címsor 2 Char"/>
    <w:link w:val="Cmsor2"/>
    <w:rsid w:val="003F238A"/>
    <w:rPr>
      <w:rFonts w:ascii="Calibri" w:eastAsiaTheme="majorEastAsia" w:hAnsi="Calibri" w:cstheme="majorBidi"/>
      <w:bCs/>
      <w:iCs/>
      <w:sz w:val="28"/>
      <w:szCs w:val="22"/>
      <w:shd w:val="clear" w:color="auto" w:fill="FFFFFF"/>
      <w:lang w:eastAsia="hu-HU"/>
    </w:rPr>
  </w:style>
  <w:style w:type="paragraph" w:customStyle="1" w:styleId="Stlus2">
    <w:name w:val="Stílus2"/>
    <w:basedOn w:val="Cmsor2"/>
    <w:autoRedefine/>
    <w:qFormat/>
    <w:rsid w:val="003F238A"/>
    <w:rPr>
      <w:rFonts w:eastAsia="Times New Roman" w:cs="Times New Roman"/>
    </w:rPr>
  </w:style>
  <w:style w:type="character" w:customStyle="1" w:styleId="Cmsor1Char">
    <w:name w:val="Címsor 1 Char"/>
    <w:link w:val="Cmsor1"/>
    <w:rsid w:val="003F238A"/>
    <w:rPr>
      <w:rFonts w:ascii="Calibri" w:hAnsi="Calibri" w:cs="Arial"/>
      <w:b/>
      <w:bCs/>
      <w:sz w:val="28"/>
      <w:szCs w:val="28"/>
      <w:shd w:val="clear" w:color="auto" w:fill="E6E6E6"/>
      <w:lang w:eastAsia="hu-HU"/>
    </w:rPr>
  </w:style>
  <w:style w:type="character" w:customStyle="1" w:styleId="Cmsor3Char">
    <w:name w:val="Címsor 3 Char"/>
    <w:link w:val="Cmsor3"/>
    <w:rsid w:val="003F238A"/>
    <w:rPr>
      <w:rFonts w:ascii="Calibri" w:hAnsi="Calibri"/>
      <w:b/>
      <w:bCs/>
      <w:sz w:val="24"/>
      <w:szCs w:val="26"/>
      <w:lang w:eastAsia="hu-HU"/>
    </w:rPr>
  </w:style>
  <w:style w:type="character" w:customStyle="1" w:styleId="Cmsor4Char">
    <w:name w:val="Címsor 4 Char"/>
    <w:link w:val="Cmsor4"/>
    <w:rsid w:val="003F238A"/>
    <w:rPr>
      <w:rFonts w:ascii="Calibri" w:hAnsi="Calibri"/>
      <w:bCs/>
      <w:sz w:val="24"/>
      <w:szCs w:val="28"/>
      <w:lang w:eastAsia="hu-HU"/>
    </w:rPr>
  </w:style>
  <w:style w:type="character" w:customStyle="1" w:styleId="Cmsor5Char">
    <w:name w:val="Címsor 5 Char"/>
    <w:link w:val="Cmsor5"/>
    <w:rsid w:val="003F238A"/>
    <w:rPr>
      <w:rFonts w:ascii="Calibri" w:hAnsi="Calibr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rsid w:val="003F238A"/>
    <w:rPr>
      <w:rFonts w:ascii="Calibri" w:hAnsi="Calibr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rsid w:val="003F238A"/>
    <w:rPr>
      <w:rFonts w:ascii="Calibri" w:hAnsi="Calibri"/>
      <w:sz w:val="24"/>
      <w:szCs w:val="24"/>
      <w:lang w:eastAsia="hu-HU"/>
    </w:rPr>
  </w:style>
  <w:style w:type="character" w:customStyle="1" w:styleId="Cmsor8Char">
    <w:name w:val="Címsor 8 Char"/>
    <w:link w:val="Cmsor8"/>
    <w:rsid w:val="003F238A"/>
    <w:rPr>
      <w:rFonts w:ascii="Calibri" w:hAnsi="Calibr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rsid w:val="003F238A"/>
    <w:rPr>
      <w:rFonts w:ascii="Cambria" w:hAnsi="Cambria"/>
      <w:sz w:val="22"/>
      <w:szCs w:val="22"/>
      <w:lang w:eastAsia="hu-HU"/>
    </w:rPr>
  </w:style>
  <w:style w:type="paragraph" w:styleId="Kpalrs">
    <w:name w:val="caption"/>
    <w:basedOn w:val="Norml"/>
    <w:next w:val="Norml"/>
    <w:qFormat/>
    <w:rsid w:val="003F238A"/>
    <w:pPr>
      <w:spacing w:after="0" w:line="240" w:lineRule="auto"/>
      <w:ind w:left="0" w:firstLine="0"/>
    </w:pPr>
    <w:rPr>
      <w:rFonts w:ascii="Calibri" w:hAnsi="Calibri"/>
      <w:b/>
      <w:bCs/>
      <w:color w:val="auto"/>
      <w:sz w:val="22"/>
      <w:szCs w:val="20"/>
    </w:rPr>
  </w:style>
  <w:style w:type="paragraph" w:styleId="Cm">
    <w:name w:val="Title"/>
    <w:basedOn w:val="Norml"/>
    <w:next w:val="Norml"/>
    <w:link w:val="CmChar"/>
    <w:qFormat/>
    <w:rsid w:val="003F238A"/>
    <w:pPr>
      <w:spacing w:before="240" w:after="60" w:line="240" w:lineRule="auto"/>
      <w:ind w:left="0" w:firstLine="0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</w:rPr>
  </w:style>
  <w:style w:type="character" w:customStyle="1" w:styleId="CmChar">
    <w:name w:val="Cím Char"/>
    <w:link w:val="Cm"/>
    <w:rsid w:val="003F238A"/>
    <w:rPr>
      <w:rFonts w:ascii="Cambria" w:hAnsi="Cambria"/>
      <w:b/>
      <w:bCs/>
      <w:kern w:val="28"/>
      <w:sz w:val="32"/>
      <w:szCs w:val="32"/>
      <w:lang w:eastAsia="hu-HU"/>
    </w:rPr>
  </w:style>
  <w:style w:type="paragraph" w:styleId="Alcm">
    <w:name w:val="Subtitle"/>
    <w:basedOn w:val="Norml"/>
    <w:next w:val="Norml"/>
    <w:link w:val="AlcmChar"/>
    <w:qFormat/>
    <w:rsid w:val="003F238A"/>
    <w:pPr>
      <w:spacing w:after="60" w:line="240" w:lineRule="auto"/>
      <w:ind w:left="0" w:firstLine="0"/>
      <w:jc w:val="center"/>
      <w:outlineLvl w:val="1"/>
    </w:pPr>
    <w:rPr>
      <w:rFonts w:ascii="Cambria" w:hAnsi="Cambria"/>
      <w:color w:val="auto"/>
      <w:szCs w:val="24"/>
    </w:rPr>
  </w:style>
  <w:style w:type="character" w:customStyle="1" w:styleId="AlcmChar">
    <w:name w:val="Alcím Char"/>
    <w:link w:val="Alcm"/>
    <w:rsid w:val="003F238A"/>
    <w:rPr>
      <w:rFonts w:ascii="Cambria" w:hAnsi="Cambria"/>
      <w:sz w:val="24"/>
      <w:szCs w:val="24"/>
      <w:lang w:eastAsia="hu-HU"/>
    </w:rPr>
  </w:style>
  <w:style w:type="character" w:styleId="Kiemels2">
    <w:name w:val="Strong"/>
    <w:qFormat/>
    <w:rsid w:val="003F238A"/>
    <w:rPr>
      <w:b/>
      <w:bCs/>
    </w:rPr>
  </w:style>
  <w:style w:type="character" w:styleId="Kiemels">
    <w:name w:val="Emphasis"/>
    <w:qFormat/>
    <w:rsid w:val="003F238A"/>
    <w:rPr>
      <w:i/>
      <w:iCs/>
    </w:rPr>
  </w:style>
  <w:style w:type="paragraph" w:styleId="Nincstrkz">
    <w:name w:val="No Spacing"/>
    <w:link w:val="NincstrkzChar"/>
    <w:qFormat/>
    <w:rsid w:val="003F238A"/>
    <w:rPr>
      <w:rFonts w:ascii="Calibri" w:hAnsi="Calibri"/>
      <w:sz w:val="22"/>
      <w:szCs w:val="22"/>
    </w:rPr>
  </w:style>
  <w:style w:type="character" w:customStyle="1" w:styleId="NincstrkzChar">
    <w:name w:val="Nincs térköz Char"/>
    <w:link w:val="Nincstrkz"/>
    <w:rsid w:val="003F238A"/>
    <w:rPr>
      <w:rFonts w:ascii="Calibri" w:hAnsi="Calibri"/>
      <w:sz w:val="22"/>
      <w:szCs w:val="22"/>
    </w:rPr>
  </w:style>
  <w:style w:type="paragraph" w:styleId="Listaszerbekezds">
    <w:name w:val="List Paragraph"/>
    <w:basedOn w:val="Norml"/>
    <w:qFormat/>
    <w:rsid w:val="003F238A"/>
    <w:pPr>
      <w:spacing w:after="0" w:line="240" w:lineRule="auto"/>
      <w:ind w:left="708" w:firstLine="0"/>
    </w:pPr>
    <w:rPr>
      <w:rFonts w:ascii="Calibri" w:hAnsi="Calibri"/>
      <w:color w:val="auto"/>
      <w:sz w:val="22"/>
      <w:szCs w:val="24"/>
    </w:rPr>
  </w:style>
  <w:style w:type="paragraph" w:styleId="Idzet">
    <w:name w:val="Quote"/>
    <w:basedOn w:val="Norml"/>
    <w:next w:val="Norml"/>
    <w:link w:val="IdzetChar"/>
    <w:qFormat/>
    <w:rsid w:val="003F238A"/>
    <w:pPr>
      <w:spacing w:after="0" w:line="240" w:lineRule="auto"/>
      <w:ind w:left="0" w:firstLine="0"/>
    </w:pPr>
    <w:rPr>
      <w:rFonts w:ascii="Arial" w:hAnsi="Arial"/>
      <w:i/>
      <w:iCs/>
      <w:sz w:val="20"/>
      <w:szCs w:val="24"/>
    </w:rPr>
  </w:style>
  <w:style w:type="character" w:customStyle="1" w:styleId="IdzetChar">
    <w:name w:val="Idézet Char"/>
    <w:link w:val="Idzet"/>
    <w:rsid w:val="003F238A"/>
    <w:rPr>
      <w:rFonts w:ascii="Arial" w:hAnsi="Arial"/>
      <w:i/>
      <w:iCs/>
      <w:color w:val="000000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qFormat/>
    <w:rsid w:val="003F238A"/>
    <w:pPr>
      <w:pBdr>
        <w:bottom w:val="single" w:sz="4" w:space="4" w:color="4F81BD"/>
      </w:pBdr>
      <w:spacing w:before="200" w:after="280" w:line="240" w:lineRule="auto"/>
      <w:ind w:left="936" w:right="936" w:firstLine="0"/>
    </w:pPr>
    <w:rPr>
      <w:rFonts w:ascii="Arial" w:hAnsi="Arial"/>
      <w:b/>
      <w:bCs/>
      <w:i/>
      <w:iCs/>
      <w:color w:val="4F81BD"/>
      <w:sz w:val="20"/>
      <w:szCs w:val="24"/>
    </w:rPr>
  </w:style>
  <w:style w:type="character" w:customStyle="1" w:styleId="KiemeltidzetChar">
    <w:name w:val="Kiemelt idézet Char"/>
    <w:link w:val="Kiemeltidzet"/>
    <w:rsid w:val="003F238A"/>
    <w:rPr>
      <w:rFonts w:ascii="Arial" w:hAnsi="Arial"/>
      <w:b/>
      <w:bCs/>
      <w:i/>
      <w:iCs/>
      <w:color w:val="4F81BD"/>
      <w:szCs w:val="24"/>
      <w:lang w:eastAsia="hu-HU"/>
    </w:rPr>
  </w:style>
  <w:style w:type="character" w:styleId="Finomkiemels">
    <w:name w:val="Subtle Emphasis"/>
    <w:qFormat/>
    <w:rsid w:val="003F238A"/>
    <w:rPr>
      <w:i/>
      <w:iCs/>
      <w:color w:val="808080"/>
    </w:rPr>
  </w:style>
  <w:style w:type="character" w:styleId="Finomhivatkozs">
    <w:name w:val="Subtle Reference"/>
    <w:qFormat/>
    <w:rsid w:val="003F238A"/>
    <w:rPr>
      <w:smallCaps/>
      <w:color w:val="C0504D"/>
      <w:u w:val="single"/>
    </w:rPr>
  </w:style>
  <w:style w:type="character" w:styleId="Ershivatkozs">
    <w:name w:val="Intense Reference"/>
    <w:qFormat/>
    <w:rsid w:val="003F238A"/>
    <w:rPr>
      <w:b/>
      <w:bCs/>
      <w:smallCaps/>
      <w:color w:val="C0504D"/>
      <w:spacing w:val="5"/>
      <w:u w:val="single"/>
    </w:rPr>
  </w:style>
  <w:style w:type="character" w:styleId="Knyvcme">
    <w:name w:val="Book Title"/>
    <w:qFormat/>
    <w:rsid w:val="003F238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qFormat/>
    <w:rsid w:val="003F238A"/>
    <w:pPr>
      <w:keepLines/>
      <w:spacing w:before="480" w:line="276" w:lineRule="auto"/>
      <w:outlineLvl w:val="9"/>
    </w:pPr>
    <w:rPr>
      <w:rFonts w:ascii="Cambria" w:hAnsi="Cambria" w:cs="Times New Roman"/>
      <w:color w:val="365F9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1</cp:revision>
  <dcterms:created xsi:type="dcterms:W3CDTF">2019-07-22T09:34:00Z</dcterms:created>
  <dcterms:modified xsi:type="dcterms:W3CDTF">2019-07-22T09:34:00Z</dcterms:modified>
</cp:coreProperties>
</file>