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BC" w:rsidRDefault="002B51BC" w:rsidP="002B51BC">
      <w:pPr>
        <w:numPr>
          <w:ilvl w:val="0"/>
          <w:numId w:val="1"/>
        </w:numPr>
        <w:jc w:val="right"/>
        <w:rPr>
          <w:b/>
        </w:rPr>
      </w:pPr>
      <w:r>
        <w:rPr>
          <w:b/>
        </w:rPr>
        <w:t>sz. függelék</w:t>
      </w:r>
    </w:p>
    <w:p w:rsidR="002B51BC" w:rsidRDefault="002B51BC" w:rsidP="002B51BC">
      <w:pPr>
        <w:jc w:val="right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  <w:u w:val="single"/>
        </w:rPr>
      </w:pPr>
      <w:r>
        <w:rPr>
          <w:b/>
          <w:u w:val="single"/>
        </w:rPr>
        <w:t>Monaj község</w:t>
      </w:r>
      <w:r w:rsidRPr="00B75618">
        <w:rPr>
          <w:b/>
          <w:u w:val="single"/>
        </w:rPr>
        <w:t xml:space="preserve"> Önkormányzat Képviselőtestületének névsora</w:t>
      </w:r>
    </w:p>
    <w:p w:rsidR="002B51BC" w:rsidRDefault="002B51BC" w:rsidP="002B51BC">
      <w:pPr>
        <w:jc w:val="both"/>
        <w:rPr>
          <w:b/>
          <w:u w:val="single"/>
        </w:rPr>
      </w:pPr>
    </w:p>
    <w:p w:rsidR="002B51BC" w:rsidRDefault="002B51BC" w:rsidP="002B51BC">
      <w:pPr>
        <w:jc w:val="both"/>
        <w:rPr>
          <w:b/>
          <w:u w:val="single"/>
        </w:rPr>
      </w:pPr>
    </w:p>
    <w:p w:rsidR="002B51BC" w:rsidRDefault="002B51BC" w:rsidP="002B51BC">
      <w:pPr>
        <w:jc w:val="both"/>
        <w:rPr>
          <w:b/>
          <w:u w:val="single"/>
        </w:rPr>
      </w:pPr>
    </w:p>
    <w:p w:rsidR="002B51BC" w:rsidRPr="00B75618" w:rsidRDefault="002B51BC" w:rsidP="002B51BC">
      <w:pPr>
        <w:numPr>
          <w:ilvl w:val="0"/>
          <w:numId w:val="2"/>
        </w:numPr>
        <w:jc w:val="both"/>
        <w:rPr>
          <w:b/>
          <w:u w:val="single"/>
        </w:rPr>
      </w:pPr>
      <w:proofErr w:type="spellStart"/>
      <w:r>
        <w:rPr>
          <w:b/>
        </w:rPr>
        <w:t>Taskó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László                     polgármester</w:t>
      </w:r>
      <w:proofErr w:type="gramEnd"/>
    </w:p>
    <w:p w:rsidR="002B51BC" w:rsidRPr="00B75618" w:rsidRDefault="002B51BC" w:rsidP="002B51BC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</w:rPr>
        <w:t xml:space="preserve">Balogh </w:t>
      </w:r>
      <w:proofErr w:type="gramStart"/>
      <w:r>
        <w:rPr>
          <w:b/>
        </w:rPr>
        <w:t>Béla                       alpolgármester</w:t>
      </w:r>
      <w:proofErr w:type="gramEnd"/>
    </w:p>
    <w:p w:rsidR="002B51BC" w:rsidRPr="00B75618" w:rsidRDefault="002B51BC" w:rsidP="002B51BC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</w:rPr>
        <w:t xml:space="preserve">Novák </w:t>
      </w:r>
      <w:proofErr w:type="gramStart"/>
      <w:r>
        <w:rPr>
          <w:b/>
        </w:rPr>
        <w:t>István                     képviselő</w:t>
      </w:r>
      <w:proofErr w:type="gramEnd"/>
    </w:p>
    <w:p w:rsidR="002B51BC" w:rsidRPr="00B75618" w:rsidRDefault="002B51BC" w:rsidP="002B51BC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</w:rPr>
        <w:t xml:space="preserve">Tóth </w:t>
      </w:r>
      <w:proofErr w:type="gramStart"/>
      <w:r>
        <w:rPr>
          <w:b/>
        </w:rPr>
        <w:t>Péter                         képviselő</w:t>
      </w:r>
      <w:proofErr w:type="gramEnd"/>
    </w:p>
    <w:p w:rsidR="002B51BC" w:rsidRPr="00B75618" w:rsidRDefault="002B51BC" w:rsidP="002B51BC">
      <w:pPr>
        <w:numPr>
          <w:ilvl w:val="0"/>
          <w:numId w:val="2"/>
        </w:numPr>
        <w:jc w:val="both"/>
        <w:rPr>
          <w:b/>
          <w:u w:val="single"/>
        </w:rPr>
      </w:pPr>
      <w:proofErr w:type="spellStart"/>
      <w:r>
        <w:rPr>
          <w:b/>
        </w:rPr>
        <w:t>Vigóczki</w:t>
      </w:r>
      <w:proofErr w:type="spellEnd"/>
      <w:r>
        <w:rPr>
          <w:b/>
        </w:rPr>
        <w:t xml:space="preserve"> Ferenc </w:t>
      </w:r>
      <w:proofErr w:type="gramStart"/>
      <w:r>
        <w:rPr>
          <w:b/>
        </w:rPr>
        <w:t>László    képviselő</w:t>
      </w:r>
      <w:proofErr w:type="gramEnd"/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Pr="00B75618" w:rsidRDefault="002B51BC" w:rsidP="002B51BC">
      <w:pPr>
        <w:numPr>
          <w:ilvl w:val="0"/>
          <w:numId w:val="1"/>
        </w:numPr>
        <w:jc w:val="right"/>
        <w:rPr>
          <w:b/>
          <w:u w:val="single"/>
        </w:rPr>
      </w:pPr>
      <w:r>
        <w:rPr>
          <w:b/>
        </w:rPr>
        <w:lastRenderedPageBreak/>
        <w:t>sz. függelék</w:t>
      </w:r>
    </w:p>
    <w:p w:rsidR="002B51BC" w:rsidRDefault="002B51BC" w:rsidP="002B51BC">
      <w:pPr>
        <w:jc w:val="right"/>
        <w:rPr>
          <w:b/>
        </w:rPr>
      </w:pPr>
    </w:p>
    <w:p w:rsidR="002B51BC" w:rsidRDefault="002B51BC" w:rsidP="002B51BC">
      <w:pPr>
        <w:jc w:val="right"/>
        <w:rPr>
          <w:b/>
        </w:rPr>
      </w:pPr>
    </w:p>
    <w:p w:rsidR="002B51BC" w:rsidRDefault="002B51BC" w:rsidP="002B51BC">
      <w:pPr>
        <w:jc w:val="right"/>
        <w:rPr>
          <w:b/>
        </w:rPr>
      </w:pPr>
    </w:p>
    <w:p w:rsidR="002B51BC" w:rsidRDefault="002B51BC" w:rsidP="002B51BC">
      <w:pPr>
        <w:jc w:val="both"/>
        <w:rPr>
          <w:b/>
          <w:u w:val="single"/>
        </w:rPr>
      </w:pPr>
      <w:r>
        <w:rPr>
          <w:b/>
          <w:u w:val="single"/>
        </w:rPr>
        <w:t>A Vagyonnyilatkozat-ellenőrzési és Összeférhetetlenségi Bizottság névsora</w:t>
      </w:r>
    </w:p>
    <w:p w:rsidR="002B51BC" w:rsidRDefault="002B51BC" w:rsidP="002B51BC">
      <w:pPr>
        <w:jc w:val="both"/>
        <w:rPr>
          <w:b/>
          <w:u w:val="single"/>
        </w:rPr>
      </w:pPr>
    </w:p>
    <w:p w:rsidR="002B51BC" w:rsidRDefault="002B51BC" w:rsidP="002B51BC">
      <w:pPr>
        <w:jc w:val="both"/>
        <w:rPr>
          <w:b/>
          <w:u w:val="single"/>
        </w:rPr>
      </w:pPr>
    </w:p>
    <w:p w:rsidR="002B51BC" w:rsidRPr="00B75618" w:rsidRDefault="002B51BC" w:rsidP="002B51BC">
      <w:pPr>
        <w:numPr>
          <w:ilvl w:val="0"/>
          <w:numId w:val="5"/>
        </w:numPr>
        <w:jc w:val="both"/>
        <w:rPr>
          <w:b/>
          <w:u w:val="single"/>
        </w:rPr>
      </w:pPr>
      <w:r>
        <w:rPr>
          <w:b/>
        </w:rPr>
        <w:t xml:space="preserve">Novák </w:t>
      </w:r>
      <w:proofErr w:type="gramStart"/>
      <w:r>
        <w:rPr>
          <w:b/>
        </w:rPr>
        <w:t>István                     tag</w:t>
      </w:r>
      <w:proofErr w:type="gramEnd"/>
    </w:p>
    <w:p w:rsidR="002B51BC" w:rsidRPr="00B75618" w:rsidRDefault="002B51BC" w:rsidP="002B51BC">
      <w:pPr>
        <w:numPr>
          <w:ilvl w:val="0"/>
          <w:numId w:val="5"/>
        </w:numPr>
        <w:jc w:val="both"/>
        <w:rPr>
          <w:b/>
          <w:u w:val="single"/>
        </w:rPr>
      </w:pPr>
      <w:r>
        <w:rPr>
          <w:b/>
        </w:rPr>
        <w:t xml:space="preserve">Tóth </w:t>
      </w:r>
      <w:proofErr w:type="gramStart"/>
      <w:r>
        <w:rPr>
          <w:b/>
        </w:rPr>
        <w:t>Péter                         tag</w:t>
      </w:r>
      <w:proofErr w:type="gramEnd"/>
    </w:p>
    <w:p w:rsidR="002B51BC" w:rsidRPr="00B75618" w:rsidRDefault="002B51BC" w:rsidP="002B51BC">
      <w:pPr>
        <w:numPr>
          <w:ilvl w:val="0"/>
          <w:numId w:val="5"/>
        </w:numPr>
        <w:jc w:val="both"/>
        <w:rPr>
          <w:b/>
          <w:u w:val="single"/>
        </w:rPr>
      </w:pPr>
      <w:proofErr w:type="spellStart"/>
      <w:r>
        <w:rPr>
          <w:b/>
        </w:rPr>
        <w:t>Vigóczki</w:t>
      </w:r>
      <w:proofErr w:type="spellEnd"/>
      <w:r>
        <w:rPr>
          <w:b/>
        </w:rPr>
        <w:t xml:space="preserve"> Ferenc </w:t>
      </w:r>
      <w:proofErr w:type="gramStart"/>
      <w:r>
        <w:rPr>
          <w:b/>
        </w:rPr>
        <w:t>László    tag</w:t>
      </w:r>
      <w:proofErr w:type="gramEnd"/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Pr="0009334D" w:rsidRDefault="002B51BC" w:rsidP="002B51BC">
      <w:pPr>
        <w:numPr>
          <w:ilvl w:val="0"/>
          <w:numId w:val="3"/>
        </w:numPr>
        <w:jc w:val="right"/>
        <w:rPr>
          <w:b/>
        </w:rPr>
      </w:pPr>
      <w:r>
        <w:rPr>
          <w:b/>
        </w:rPr>
        <w:lastRenderedPageBreak/>
        <w:t>sz. melléklet</w:t>
      </w:r>
    </w:p>
    <w:p w:rsidR="002B51BC" w:rsidRDefault="002B51BC" w:rsidP="002B51BC">
      <w:pPr>
        <w:jc w:val="both"/>
        <w:rPr>
          <w:b/>
        </w:rPr>
      </w:pPr>
    </w:p>
    <w:p w:rsidR="002B51BC" w:rsidRPr="0009334D" w:rsidRDefault="002B51BC" w:rsidP="002B51B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9334D">
        <w:rPr>
          <w:rFonts w:ascii="Calibri" w:eastAsia="Calibri" w:hAnsi="Calibri"/>
          <w:b/>
          <w:bCs/>
          <w:sz w:val="22"/>
          <w:szCs w:val="22"/>
          <w:lang w:eastAsia="en-US"/>
        </w:rPr>
        <w:t>Az átruházott feladat és hatáskörökről</w:t>
      </w: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>
        <w:rPr>
          <w:rFonts w:eastAsia="SimSun"/>
          <w:kern w:val="1"/>
          <w:lang w:eastAsia="zh-CN" w:bidi="hi-IN"/>
        </w:rPr>
        <w:t>A képviselő</w:t>
      </w:r>
      <w:r w:rsidRPr="0009334D">
        <w:rPr>
          <w:rFonts w:eastAsia="SimSun"/>
          <w:kern w:val="1"/>
          <w:lang w:eastAsia="zh-CN" w:bidi="hi-IN"/>
        </w:rPr>
        <w:t>testület az alább felsorolt tulajdonosi jogok és kötelezettségek tulajdonosi joggyakorlására a polgármestert hatalmazza fel:</w:t>
      </w: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proofErr w:type="gramStart"/>
      <w:r>
        <w:rPr>
          <w:rFonts w:eastAsia="SimSun"/>
          <w:kern w:val="1"/>
          <w:lang w:eastAsia="zh-CN" w:bidi="hi-IN"/>
        </w:rPr>
        <w:t>a</w:t>
      </w:r>
      <w:proofErr w:type="gramEnd"/>
      <w:r>
        <w:rPr>
          <w:rFonts w:eastAsia="SimSun"/>
          <w:kern w:val="1"/>
          <w:lang w:eastAsia="zh-CN" w:bidi="hi-IN"/>
        </w:rPr>
        <w:t xml:space="preserve">) </w:t>
      </w:r>
      <w:proofErr w:type="spellStart"/>
      <w:r>
        <w:rPr>
          <w:rFonts w:eastAsia="SimSun"/>
          <w:kern w:val="1"/>
          <w:lang w:eastAsia="zh-CN" w:bidi="hi-IN"/>
        </w:rPr>
        <w:t>a</w:t>
      </w:r>
      <w:proofErr w:type="spellEnd"/>
      <w:r>
        <w:rPr>
          <w:rFonts w:eastAsia="SimSun"/>
          <w:kern w:val="1"/>
          <w:lang w:eastAsia="zh-CN" w:bidi="hi-IN"/>
        </w:rPr>
        <w:t xml:space="preserve"> képviselő</w:t>
      </w:r>
      <w:r w:rsidRPr="0009334D">
        <w:rPr>
          <w:rFonts w:eastAsia="SimSun"/>
          <w:kern w:val="1"/>
          <w:lang w:eastAsia="zh-CN" w:bidi="hi-IN"/>
        </w:rPr>
        <w:t>testület által szövegszerűen elfogadott szerződések aláírására;</w:t>
      </w: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>
        <w:rPr>
          <w:rFonts w:eastAsia="SimSun"/>
          <w:kern w:val="1"/>
          <w:lang w:eastAsia="zh-CN" w:bidi="hi-IN"/>
        </w:rPr>
        <w:t>b) a képviselő</w:t>
      </w:r>
      <w:r w:rsidRPr="0009334D">
        <w:rPr>
          <w:rFonts w:eastAsia="SimSun"/>
          <w:kern w:val="1"/>
          <w:lang w:eastAsia="zh-CN" w:bidi="hi-IN"/>
        </w:rPr>
        <w:t>testület szerződéskötésről szóló döntése alapján, amennyiben a testület a szerződést nem szövegszerűen fogadta el, az önkormányzati határozat keretei között a szerződés szövegének megállapítása, elfogadás, a szerződés aláírása;</w:t>
      </w: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 w:rsidRPr="0009334D">
        <w:rPr>
          <w:rFonts w:eastAsia="SimSun"/>
          <w:kern w:val="1"/>
          <w:lang w:eastAsia="zh-CN" w:bidi="hi-IN"/>
        </w:rPr>
        <w:t>c) az önkormányzat vagyonának, továbbá jogos érdekeinek védelme céljából szerződés felbontására, vagy megszűntetésére irányuló jognyilatkozatok megtétele, az önkormányzat igényeinek érvényesítését célzó jognyilatkozatok kiadása;</w:t>
      </w: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 w:rsidRPr="0009334D">
        <w:rPr>
          <w:rFonts w:eastAsia="SimSun"/>
          <w:kern w:val="1"/>
          <w:lang w:eastAsia="zh-CN" w:bidi="hi-IN"/>
        </w:rPr>
        <w:t xml:space="preserve">d) az önkormányzati igények érvényesítése, az önkormányzat jogvédelme érdekében közigazgatási, peres, vagy </w:t>
      </w:r>
      <w:proofErr w:type="spellStart"/>
      <w:r w:rsidRPr="0009334D">
        <w:rPr>
          <w:rFonts w:eastAsia="SimSun"/>
          <w:kern w:val="1"/>
          <w:lang w:eastAsia="zh-CN" w:bidi="hi-IN"/>
        </w:rPr>
        <w:t>nemperes</w:t>
      </w:r>
      <w:proofErr w:type="spellEnd"/>
      <w:r w:rsidRPr="0009334D">
        <w:rPr>
          <w:rFonts w:eastAsia="SimSun"/>
          <w:kern w:val="1"/>
          <w:lang w:eastAsia="zh-CN" w:bidi="hi-IN"/>
        </w:rPr>
        <w:t xml:space="preserve"> eljárás megindítása;</w:t>
      </w: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proofErr w:type="gramStart"/>
      <w:r w:rsidRPr="0009334D">
        <w:rPr>
          <w:rFonts w:eastAsia="SimSun"/>
          <w:kern w:val="1"/>
          <w:lang w:eastAsia="zh-CN" w:bidi="hi-IN"/>
        </w:rPr>
        <w:t>e</w:t>
      </w:r>
      <w:proofErr w:type="gramEnd"/>
      <w:r w:rsidRPr="0009334D">
        <w:rPr>
          <w:rFonts w:eastAsia="SimSun"/>
          <w:kern w:val="1"/>
          <w:lang w:eastAsia="zh-CN" w:bidi="hi-IN"/>
        </w:rPr>
        <w:t>) közművezetékek elhelyezése céljára vezetékjogot, szolgalmi jogot, vagy közérdekű használati jogot biztosító szerződések megkötése, feltéve, hogy e jogok biztosítása nem eredményez változást, vagy korlátozást az érintett ingatlanok településrendezési terv szerinti felhasználhatóságában”</w:t>
      </w: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 w:rsidRPr="0009334D">
        <w:rPr>
          <w:rFonts w:eastAsia="SimSun"/>
          <w:kern w:val="1"/>
          <w:lang w:eastAsia="zh-CN" w:bidi="hi-IN"/>
        </w:rPr>
        <w:t>A polgármester eljár a közterület használatáról szóló rendele</w:t>
      </w:r>
      <w:r>
        <w:rPr>
          <w:rFonts w:eastAsia="SimSun"/>
          <w:kern w:val="1"/>
          <w:lang w:eastAsia="zh-CN" w:bidi="hi-IN"/>
        </w:rPr>
        <w:t>tben meghatározott hatáskörben</w:t>
      </w:r>
      <w:proofErr w:type="gramStart"/>
      <w:r>
        <w:rPr>
          <w:rFonts w:eastAsia="SimSun"/>
          <w:kern w:val="1"/>
          <w:lang w:eastAsia="zh-CN" w:bidi="hi-IN"/>
        </w:rPr>
        <w:t>,  a</w:t>
      </w:r>
      <w:proofErr w:type="gramEnd"/>
      <w:r w:rsidRPr="0009334D">
        <w:rPr>
          <w:rFonts w:eastAsia="SimSun"/>
          <w:kern w:val="1"/>
          <w:lang w:eastAsia="zh-CN" w:bidi="hi-IN"/>
        </w:rPr>
        <w:t xml:space="preserve"> közterület használatra engedélyt a rendeletben meghatározott feltételek mellett a polgármester ad.</w:t>
      </w:r>
    </w:p>
    <w:p w:rsidR="002B51BC" w:rsidRPr="0009334D" w:rsidRDefault="002B51BC" w:rsidP="002B51BC">
      <w:pPr>
        <w:widowControl w:val="0"/>
        <w:tabs>
          <w:tab w:val="left" w:leader="underscore" w:pos="2835"/>
        </w:tabs>
        <w:suppressAutoHyphens/>
        <w:jc w:val="both"/>
        <w:rPr>
          <w:rFonts w:eastAsia="SimSun"/>
          <w:kern w:val="1"/>
          <w:vertAlign w:val="superscript"/>
          <w:lang w:eastAsia="zh-CN" w:bidi="hi-IN"/>
        </w:rPr>
      </w:pP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 w:rsidRPr="0009334D">
        <w:rPr>
          <w:rFonts w:eastAsia="SimSun"/>
          <w:b/>
          <w:bCs/>
          <w:kern w:val="1"/>
          <w:lang w:eastAsia="zh-CN" w:bidi="hi-IN"/>
        </w:rPr>
        <w:t>Hatásköri szabályok</w:t>
      </w: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 w:rsidRPr="0009334D">
        <w:rPr>
          <w:rFonts w:eastAsia="SimSun"/>
          <w:kern w:val="1"/>
          <w:lang w:eastAsia="zh-CN" w:bidi="hi-IN"/>
        </w:rPr>
        <w:t>A képviselő-testület a törvény alapján őt megillető önkormányzati hatósági jogkör (megállapítás, felülvizsgálat, megvonás) gyakorlását</w:t>
      </w:r>
    </w:p>
    <w:p w:rsidR="002B51BC" w:rsidRDefault="002B51BC" w:rsidP="002B51BC">
      <w:pPr>
        <w:widowControl w:val="0"/>
        <w:numPr>
          <w:ilvl w:val="0"/>
          <w:numId w:val="4"/>
        </w:numPr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>
        <w:rPr>
          <w:rFonts w:eastAsia="SimSun"/>
          <w:kern w:val="1"/>
          <w:lang w:eastAsia="zh-CN" w:bidi="hi-IN"/>
        </w:rPr>
        <w:t>települési támogatás,</w:t>
      </w:r>
    </w:p>
    <w:p w:rsidR="002B51BC" w:rsidRPr="0009334D" w:rsidRDefault="002B51BC" w:rsidP="002B51BC">
      <w:pPr>
        <w:widowControl w:val="0"/>
        <w:numPr>
          <w:ilvl w:val="0"/>
          <w:numId w:val="4"/>
        </w:numPr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 w:rsidRPr="0009334D">
        <w:rPr>
          <w:rFonts w:eastAsia="SimSun"/>
          <w:kern w:val="1"/>
          <w:lang w:eastAsia="zh-CN" w:bidi="hi-IN"/>
        </w:rPr>
        <w:t>rendkívüli települési támogatás</w:t>
      </w:r>
      <w:r>
        <w:rPr>
          <w:rFonts w:eastAsia="SimSun"/>
          <w:kern w:val="1"/>
          <w:lang w:eastAsia="zh-CN" w:bidi="hi-IN"/>
        </w:rPr>
        <w:t>,</w:t>
      </w:r>
    </w:p>
    <w:p w:rsidR="002B51BC" w:rsidRDefault="002B51BC" w:rsidP="002B51BC">
      <w:pPr>
        <w:widowControl w:val="0"/>
        <w:numPr>
          <w:ilvl w:val="0"/>
          <w:numId w:val="4"/>
        </w:numPr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 w:rsidRPr="0009334D">
        <w:rPr>
          <w:rFonts w:eastAsia="SimSun"/>
          <w:kern w:val="1"/>
          <w:lang w:eastAsia="zh-CN" w:bidi="hi-IN"/>
        </w:rPr>
        <w:t>temetési segély</w:t>
      </w:r>
      <w:r>
        <w:rPr>
          <w:rFonts w:eastAsia="SimSun"/>
          <w:kern w:val="1"/>
          <w:lang w:eastAsia="zh-CN" w:bidi="hi-IN"/>
        </w:rPr>
        <w:t>,</w:t>
      </w:r>
    </w:p>
    <w:p w:rsidR="002B51BC" w:rsidRPr="0009334D" w:rsidRDefault="002B51BC" w:rsidP="002B51BC">
      <w:pPr>
        <w:widowControl w:val="0"/>
        <w:numPr>
          <w:ilvl w:val="0"/>
          <w:numId w:val="4"/>
        </w:numPr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r>
        <w:rPr>
          <w:rFonts w:eastAsia="SimSun"/>
          <w:kern w:val="1"/>
          <w:lang w:eastAsia="zh-CN" w:bidi="hi-IN"/>
        </w:rPr>
        <w:t>szociális étkeztetés</w:t>
      </w:r>
    </w:p>
    <w:p w:rsidR="002B51BC" w:rsidRPr="0009334D" w:rsidRDefault="002B51BC" w:rsidP="002B51BC">
      <w:pPr>
        <w:widowControl w:val="0"/>
        <w:suppressAutoHyphens/>
        <w:spacing w:after="140"/>
        <w:jc w:val="both"/>
        <w:rPr>
          <w:rFonts w:eastAsia="SimSun"/>
          <w:kern w:val="1"/>
          <w:lang w:eastAsia="zh-CN" w:bidi="hi-IN"/>
        </w:rPr>
      </w:pPr>
      <w:proofErr w:type="gramStart"/>
      <w:r w:rsidRPr="0009334D">
        <w:rPr>
          <w:rFonts w:eastAsia="SimSun"/>
          <w:kern w:val="1"/>
          <w:lang w:eastAsia="zh-CN" w:bidi="hi-IN"/>
        </w:rPr>
        <w:t>átruházza</w:t>
      </w:r>
      <w:proofErr w:type="gramEnd"/>
      <w:r w:rsidRPr="0009334D">
        <w:rPr>
          <w:rFonts w:eastAsia="SimSun"/>
          <w:kern w:val="1"/>
          <w:lang w:eastAsia="zh-CN" w:bidi="hi-IN"/>
        </w:rPr>
        <w:t xml:space="preserve"> a polgármesterre.</w:t>
      </w: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numPr>
          <w:ilvl w:val="0"/>
          <w:numId w:val="3"/>
        </w:numPr>
        <w:jc w:val="right"/>
        <w:rPr>
          <w:b/>
        </w:rPr>
      </w:pPr>
      <w:r>
        <w:rPr>
          <w:b/>
        </w:rPr>
        <w:t>sz. melléklet</w:t>
      </w:r>
    </w:p>
    <w:p w:rsidR="002B51BC" w:rsidRDefault="002B51BC" w:rsidP="002B51BC">
      <w:pPr>
        <w:jc w:val="right"/>
        <w:rPr>
          <w:b/>
        </w:rPr>
      </w:pPr>
    </w:p>
    <w:p w:rsidR="002B51BC" w:rsidRDefault="002B51BC" w:rsidP="002B51BC">
      <w:pPr>
        <w:jc w:val="right"/>
        <w:rPr>
          <w:b/>
        </w:rPr>
      </w:pPr>
    </w:p>
    <w:p w:rsidR="002B51BC" w:rsidRDefault="002B51BC" w:rsidP="002B51BC">
      <w:pPr>
        <w:jc w:val="both"/>
        <w:rPr>
          <w:b/>
        </w:rPr>
      </w:pPr>
      <w:r>
        <w:rPr>
          <w:b/>
        </w:rPr>
        <w:t>Monaj község Önkormányzat alaptevékenységének kormányzati funkciók szerinti besorolása:</w:t>
      </w:r>
    </w:p>
    <w:p w:rsidR="002B51BC" w:rsidRDefault="002B51BC" w:rsidP="002B51BC">
      <w:pPr>
        <w:jc w:val="both"/>
        <w:rPr>
          <w:b/>
        </w:rPr>
      </w:pPr>
    </w:p>
    <w:p w:rsidR="002B51BC" w:rsidRDefault="002B51BC" w:rsidP="002B51BC">
      <w:pPr>
        <w:jc w:val="both"/>
        <w:rPr>
          <w:b/>
        </w:rPr>
      </w:pPr>
    </w:p>
    <w:tbl>
      <w:tblPr>
        <w:tblW w:w="9104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616"/>
      </w:tblGrid>
      <w:tr w:rsidR="002B51BC" w:rsidRPr="00DA4B69" w:rsidTr="00667FD1">
        <w:trPr>
          <w:trHeight w:val="320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  <w:b/>
              </w:rPr>
            </w:pPr>
            <w:proofErr w:type="spellStart"/>
            <w:r w:rsidRPr="00DA4B69">
              <w:rPr>
                <w:rFonts w:eastAsia="Calibri"/>
                <w:b/>
              </w:rPr>
              <w:t>Korm.</w:t>
            </w:r>
            <w:proofErr w:type="gramStart"/>
            <w:r w:rsidRPr="00DA4B69">
              <w:rPr>
                <w:rFonts w:eastAsia="Calibri"/>
                <w:b/>
              </w:rPr>
              <w:t>.funk</w:t>
            </w:r>
            <w:proofErr w:type="spellEnd"/>
            <w:proofErr w:type="gramEnd"/>
            <w:r w:rsidRPr="00DA4B69">
              <w:rPr>
                <w:rFonts w:eastAsia="Calibri"/>
                <w:b/>
              </w:rPr>
              <w:t>.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center"/>
              <w:rPr>
                <w:rFonts w:eastAsia="Calibri"/>
                <w:b/>
              </w:rPr>
            </w:pPr>
            <w:r w:rsidRPr="00DA4B69">
              <w:rPr>
                <w:rFonts w:eastAsia="Calibri"/>
                <w:b/>
              </w:rPr>
              <w:t>Megnevezés</w:t>
            </w:r>
          </w:p>
        </w:tc>
      </w:tr>
      <w:tr w:rsidR="002B51BC" w:rsidRPr="004B5365" w:rsidTr="00667FD1">
        <w:trPr>
          <w:trHeight w:val="320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011130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533"/>
              <w:rPr>
                <w:rFonts w:eastAsia="Calibri"/>
              </w:rPr>
            </w:pPr>
            <w:r w:rsidRPr="00DA4B69">
              <w:rPr>
                <w:rFonts w:eastAsia="Calibri"/>
              </w:rPr>
              <w:t>Önkormányzatok és önkormányzati hivatalok jogalkotó és általános igazgatási tevékenysége</w:t>
            </w:r>
          </w:p>
        </w:tc>
      </w:tr>
      <w:tr w:rsidR="002B51BC" w:rsidRPr="004B5365" w:rsidTr="00667FD1">
        <w:trPr>
          <w:trHeight w:val="320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013320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>Köztemető-fenntartás és - működtetés</w:t>
            </w:r>
          </w:p>
        </w:tc>
      </w:tr>
      <w:tr w:rsidR="002B51BC" w:rsidRPr="004B5365" w:rsidTr="00667FD1">
        <w:trPr>
          <w:trHeight w:val="320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016080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>
              <w:rPr>
                <w:rFonts w:eastAsia="Calibri"/>
              </w:rPr>
              <w:t>Kiemelt állami és önkormányzati rendezvények</w:t>
            </w:r>
          </w:p>
        </w:tc>
      </w:tr>
      <w:tr w:rsidR="002B51BC" w:rsidRPr="004B5365" w:rsidTr="00667FD1">
        <w:trPr>
          <w:trHeight w:val="320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022010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>
              <w:rPr>
                <w:rFonts w:eastAsia="Calibri"/>
              </w:rPr>
              <w:t>Polgári honvédelem ágazati feladatai, a lakosság felkészítése</w:t>
            </w:r>
          </w:p>
        </w:tc>
      </w:tr>
      <w:tr w:rsidR="002B51BC" w:rsidRPr="004B5365" w:rsidTr="00667FD1">
        <w:trPr>
          <w:trHeight w:val="320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041231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>Rövid időtartamú közfoglalkoztatás</w:t>
            </w:r>
          </w:p>
        </w:tc>
      </w:tr>
      <w:tr w:rsidR="002B51BC" w:rsidRPr="004B5365" w:rsidTr="00667FD1">
        <w:trPr>
          <w:trHeight w:val="336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041232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>Start-munka program – Téli közfoglalkoztatás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  <w:vertAlign w:val="superscript"/>
              </w:rPr>
            </w:pPr>
            <w:r w:rsidRPr="00DA4B69">
              <w:rPr>
                <w:rFonts w:eastAsia="Calibri"/>
              </w:rPr>
              <w:t>041233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 Hosszabb időtartamú közfoglalkoztatás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041236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 Országos közfoglalkoztatási program</w:t>
            </w:r>
          </w:p>
        </w:tc>
      </w:tr>
      <w:tr w:rsidR="002B51BC" w:rsidRPr="004B5365" w:rsidTr="00667FD1"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041237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rPr>
                <w:rFonts w:eastAsia="Calibri"/>
              </w:rPr>
            </w:pPr>
            <w:r w:rsidRPr="00DA4B69">
              <w:rPr>
                <w:rFonts w:eastAsia="Calibri"/>
              </w:rPr>
              <w:t>Közfoglalkoztatási mintaprogram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045160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 Közutak, hidak, alagutak üzemeltetése, fenntartása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047410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 Ár- és belvízvédelemmel összefüggő tevékenységek</w:t>
            </w:r>
          </w:p>
        </w:tc>
      </w:tr>
      <w:tr w:rsidR="002B51BC" w:rsidRPr="006314D9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049030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>Kéményseprő-ipari tevékenység</w:t>
            </w:r>
          </w:p>
        </w:tc>
      </w:tr>
      <w:tr w:rsidR="002B51BC" w:rsidRPr="006314D9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063020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Víztermelés, - kezelés, </w:t>
            </w:r>
            <w:proofErr w:type="spellStart"/>
            <w:r w:rsidRPr="00DA4B69">
              <w:rPr>
                <w:rFonts w:eastAsia="Calibri"/>
              </w:rPr>
              <w:t>-ellátás</w:t>
            </w:r>
            <w:proofErr w:type="spellEnd"/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064010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 Közvilágítás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ind w:right="-284"/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066020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ind w:right="-284"/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 Város-, községgazdálkodási egyéb szolgáltatások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jc w:val="both"/>
              <w:rPr>
                <w:rFonts w:eastAsia="Calibri"/>
              </w:rPr>
            </w:pPr>
            <w:r w:rsidRPr="00DA4B69">
              <w:rPr>
                <w:rFonts w:eastAsia="Calibri"/>
              </w:rPr>
              <w:t>082091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 Közművelődés és közösségi és társadalmi részvétel fejlesztése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101222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rPr>
                <w:rFonts w:eastAsia="Calibri"/>
              </w:rPr>
            </w:pPr>
            <w:r>
              <w:rPr>
                <w:rFonts w:eastAsia="Calibri"/>
              </w:rPr>
              <w:t>Támogató szolgáltatás fogyatékos személyek részére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488" w:type="dxa"/>
            <w:shd w:val="clear" w:color="auto" w:fill="auto"/>
          </w:tcPr>
          <w:p w:rsidR="002B51BC" w:rsidRDefault="002B51BC" w:rsidP="00667FD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102050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rPr>
                <w:rFonts w:eastAsia="Calibri"/>
              </w:rPr>
            </w:pPr>
            <w:r>
              <w:rPr>
                <w:rFonts w:eastAsia="Calibri"/>
              </w:rPr>
              <w:t>Időskorúak társadalmi integrációját célzó programok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jc w:val="both"/>
              <w:rPr>
                <w:rFonts w:eastAsia="Calibri"/>
                <w:vertAlign w:val="superscript"/>
              </w:rPr>
            </w:pPr>
            <w:r w:rsidRPr="00DA4B69">
              <w:rPr>
                <w:rFonts w:eastAsia="Calibri"/>
              </w:rPr>
              <w:t>104037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 Intézményen kívüli gyermekétkeztetés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104042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rPr>
                <w:rFonts w:eastAsia="Calibri"/>
              </w:rPr>
            </w:pPr>
            <w:r w:rsidRPr="00DA4B6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Család és gyermekjóléti szolgáltatások</w:t>
            </w:r>
          </w:p>
        </w:tc>
      </w:tr>
      <w:tr w:rsidR="002B51BC" w:rsidRPr="004B5365" w:rsidTr="00667F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488" w:type="dxa"/>
            <w:shd w:val="clear" w:color="auto" w:fill="auto"/>
          </w:tcPr>
          <w:p w:rsidR="002B51BC" w:rsidRPr="00DA4B69" w:rsidRDefault="002B51BC" w:rsidP="00667FD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107055</w:t>
            </w:r>
          </w:p>
        </w:tc>
        <w:tc>
          <w:tcPr>
            <w:tcW w:w="7616" w:type="dxa"/>
            <w:shd w:val="clear" w:color="auto" w:fill="auto"/>
          </w:tcPr>
          <w:p w:rsidR="002B51BC" w:rsidRPr="00DA4B69" w:rsidRDefault="002B51BC" w:rsidP="00667FD1">
            <w:pPr>
              <w:rPr>
                <w:rFonts w:eastAsia="Calibri"/>
              </w:rPr>
            </w:pPr>
            <w:r>
              <w:rPr>
                <w:rFonts w:eastAsia="Calibri"/>
              </w:rPr>
              <w:t>Falugondnoki, tanyagondnoki szolgáltatás</w:t>
            </w:r>
          </w:p>
        </w:tc>
      </w:tr>
    </w:tbl>
    <w:p w:rsidR="002B51BC" w:rsidRPr="00B75618" w:rsidRDefault="002B51BC" w:rsidP="002B51BC">
      <w:pPr>
        <w:jc w:val="both"/>
        <w:rPr>
          <w:b/>
        </w:rPr>
      </w:pPr>
    </w:p>
    <w:p w:rsidR="00B72E3F" w:rsidRDefault="00B72E3F">
      <w:bookmarkStart w:id="0" w:name="_GoBack"/>
      <w:bookmarkEnd w:id="0"/>
    </w:p>
    <w:sectPr w:rsidR="00B7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C50"/>
    <w:multiLevelType w:val="hybridMultilevel"/>
    <w:tmpl w:val="76448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A1EE9"/>
    <w:multiLevelType w:val="hybridMultilevel"/>
    <w:tmpl w:val="8F6A3C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25B73"/>
    <w:multiLevelType w:val="hybridMultilevel"/>
    <w:tmpl w:val="4B2E80EC"/>
    <w:lvl w:ilvl="0" w:tplc="C3B0D4F4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A25403"/>
    <w:multiLevelType w:val="hybridMultilevel"/>
    <w:tmpl w:val="8F6A3C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C4467"/>
    <w:multiLevelType w:val="hybridMultilevel"/>
    <w:tmpl w:val="FA4CD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BC"/>
    <w:rsid w:val="002B51BC"/>
    <w:rsid w:val="00B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Homrogd01</dc:creator>
  <cp:lastModifiedBy>Homrogd01</cp:lastModifiedBy>
  <cp:revision>1</cp:revision>
  <dcterms:created xsi:type="dcterms:W3CDTF">2018-12-05T13:17:00Z</dcterms:created>
  <dcterms:modified xsi:type="dcterms:W3CDTF">2018-12-05T13:18:00Z</dcterms:modified>
</cp:coreProperties>
</file>