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58" w:rsidRDefault="00B00758" w:rsidP="00B00758">
      <w:pPr>
        <w:jc w:val="right"/>
        <w:rPr>
          <w:b/>
        </w:rPr>
      </w:pPr>
      <w:r>
        <w:rPr>
          <w:b/>
        </w:rPr>
        <w:t>1. számú melléklet a 7/2016.(X.20.) önkormányzati rendelethez</w:t>
      </w:r>
    </w:p>
    <w:p w:rsidR="00B00758" w:rsidRDefault="00B00758" w:rsidP="00B00758">
      <w:pPr>
        <w:jc w:val="right"/>
        <w:rPr>
          <w:b/>
        </w:rPr>
      </w:pPr>
      <w:r>
        <w:t> </w:t>
      </w:r>
      <w:r>
        <w:rPr>
          <w:b/>
        </w:rPr>
        <w:t>1. számú melléklet a 11/2008. (X. 22.) önkormányzati rendelethez</w:t>
      </w:r>
    </w:p>
    <w:p w:rsidR="00B00758" w:rsidRDefault="00B00758" w:rsidP="00B00758">
      <w:pPr>
        <w:jc w:val="both"/>
      </w:pPr>
    </w:p>
    <w:p w:rsidR="00B00758" w:rsidRDefault="00B00758" w:rsidP="00B00758">
      <w:pPr>
        <w:jc w:val="both"/>
      </w:pPr>
      <w:r>
        <w:t> </w:t>
      </w:r>
    </w:p>
    <w:p w:rsidR="00B00758" w:rsidRDefault="00B00758" w:rsidP="00B00758">
      <w:pPr>
        <w:jc w:val="both"/>
      </w:pPr>
      <w:r>
        <w:t> </w:t>
      </w:r>
    </w:p>
    <w:p w:rsidR="00B00758" w:rsidRDefault="00B00758" w:rsidP="00B00758">
      <w:pPr>
        <w:jc w:val="both"/>
      </w:pPr>
      <w:r>
        <w:t> </w:t>
      </w:r>
    </w:p>
    <w:p w:rsidR="00B00758" w:rsidRDefault="00B00758" w:rsidP="00B00758">
      <w:pPr>
        <w:pStyle w:val="Cmsor2"/>
        <w:rPr>
          <w:rFonts w:ascii="Times New Roman" w:hAnsi="Times New Roman"/>
        </w:rPr>
      </w:pPr>
      <w:r>
        <w:rPr>
          <w:rFonts w:ascii="Times New Roman" w:hAnsi="Times New Roman"/>
        </w:rPr>
        <w:t>A közterület használati díjak</w:t>
      </w:r>
    </w:p>
    <w:p w:rsidR="00B00758" w:rsidRDefault="00B00758" w:rsidP="00B00758">
      <w:pPr>
        <w:jc w:val="both"/>
      </w:pPr>
      <w:r>
        <w:t> </w:t>
      </w:r>
    </w:p>
    <w:p w:rsidR="00B00758" w:rsidRDefault="00B00758" w:rsidP="00B00758">
      <w:pPr>
        <w:jc w:val="both"/>
      </w:pPr>
      <w:r>
        <w:t> </w:t>
      </w:r>
    </w:p>
    <w:p w:rsidR="00B00758" w:rsidRDefault="00B00758" w:rsidP="00B00758">
      <w:pPr>
        <w:pStyle w:val="Cmsor3"/>
        <w:tabs>
          <w:tab w:val="right" w:pos="7740"/>
        </w:tabs>
        <w:rPr>
          <w:rFonts w:ascii="Times New Roman" w:hAnsi="Times New Roman"/>
        </w:rPr>
      </w:pPr>
      <w:r>
        <w:rPr>
          <w:rFonts w:ascii="Times New Roman" w:hAnsi="Times New Roman"/>
        </w:rPr>
        <w:t>Megnevezés:</w:t>
      </w:r>
      <w:r>
        <w:rPr>
          <w:rFonts w:ascii="Times New Roman" w:hAnsi="Times New Roman"/>
        </w:rPr>
        <w:tab/>
        <w:t>Díj:</w:t>
      </w:r>
    </w:p>
    <w:p w:rsidR="00B00758" w:rsidRDefault="00B00758" w:rsidP="00B00758">
      <w:pPr>
        <w:jc w:val="both"/>
      </w:pPr>
      <w:r>
        <w:t> </w:t>
      </w:r>
    </w:p>
    <w:p w:rsidR="00B00758" w:rsidRDefault="00B00758" w:rsidP="00B00758">
      <w:pPr>
        <w:jc w:val="both"/>
      </w:pPr>
      <w:r>
        <w:t xml:space="preserve">1.) Hirdetőberendezés                                                            </w:t>
      </w:r>
    </w:p>
    <w:p w:rsidR="00B00758" w:rsidRDefault="00B00758" w:rsidP="00B00758">
      <w:pPr>
        <w:tabs>
          <w:tab w:val="right" w:pos="7740"/>
        </w:tabs>
        <w:ind w:left="240"/>
        <w:jc w:val="both"/>
      </w:pPr>
      <w:r>
        <w:t> 0-1 m</w:t>
      </w:r>
      <w:r>
        <w:rPr>
          <w:vertAlign w:val="superscript"/>
        </w:rPr>
        <w:t>2</w:t>
      </w:r>
      <w:r>
        <w:t>-ig</w:t>
      </w:r>
      <w:r>
        <w:tab/>
        <w:t>50.000,- Ft/hó</w:t>
      </w:r>
    </w:p>
    <w:p w:rsidR="00B00758" w:rsidRDefault="00B00758" w:rsidP="00B00758">
      <w:pPr>
        <w:jc w:val="both"/>
      </w:pPr>
      <w:r>
        <w:t> </w:t>
      </w:r>
    </w:p>
    <w:p w:rsidR="00B00758" w:rsidRDefault="00B00758" w:rsidP="00B00758">
      <w:pPr>
        <w:jc w:val="both"/>
      </w:pPr>
      <w:r>
        <w:t>     1 m</w:t>
      </w:r>
      <w:r>
        <w:rPr>
          <w:vertAlign w:val="superscript"/>
        </w:rPr>
        <w:t>2</w:t>
      </w:r>
      <w:r>
        <w:t xml:space="preserve"> felett minden</w:t>
      </w:r>
    </w:p>
    <w:p w:rsidR="00B00758" w:rsidRDefault="00B00758" w:rsidP="00B00758">
      <w:pPr>
        <w:tabs>
          <w:tab w:val="right" w:pos="7740"/>
        </w:tabs>
        <w:ind w:left="360"/>
        <w:jc w:val="both"/>
      </w:pPr>
      <w:proofErr w:type="gramStart"/>
      <w:r>
        <w:t>megkezdett</w:t>
      </w:r>
      <w:proofErr w:type="gramEnd"/>
      <w:r>
        <w:t xml:space="preserve"> m</w:t>
      </w:r>
      <w:r>
        <w:rPr>
          <w:vertAlign w:val="superscript"/>
        </w:rPr>
        <w:t>2</w:t>
      </w:r>
      <w:r>
        <w:t xml:space="preserve"> után</w:t>
      </w:r>
      <w:r>
        <w:tab/>
        <w:t>2.500,- Ft/hó</w:t>
      </w:r>
    </w:p>
    <w:p w:rsidR="00B00758" w:rsidRDefault="00B00758" w:rsidP="00B00758">
      <w:pPr>
        <w:jc w:val="both"/>
      </w:pPr>
      <w:r>
        <w:t> </w:t>
      </w:r>
    </w:p>
    <w:p w:rsidR="00B00758" w:rsidRDefault="00B00758" w:rsidP="00B00758">
      <w:pPr>
        <w:jc w:val="both"/>
      </w:pPr>
      <w:r>
        <w:t xml:space="preserve">2.) Építési munkával kapcsolatos                                             </w:t>
      </w:r>
    </w:p>
    <w:p w:rsidR="00B00758" w:rsidRDefault="00B00758" w:rsidP="00B00758">
      <w:pPr>
        <w:jc w:val="both"/>
      </w:pPr>
      <w:r>
        <w:t xml:space="preserve">     </w:t>
      </w:r>
      <w:proofErr w:type="gramStart"/>
      <w:r>
        <w:t>segédszerkezet</w:t>
      </w:r>
      <w:proofErr w:type="gramEnd"/>
      <w:r>
        <w:t>, törmelék, építőanyag, gép és tartozékai</w:t>
      </w:r>
    </w:p>
    <w:p w:rsidR="00B00758" w:rsidRDefault="00B00758" w:rsidP="00B00758">
      <w:pPr>
        <w:tabs>
          <w:tab w:val="right" w:pos="7740"/>
        </w:tabs>
        <w:jc w:val="both"/>
      </w:pPr>
      <w:r>
        <w:t xml:space="preserve">     </w:t>
      </w:r>
      <w:proofErr w:type="gramStart"/>
      <w:r>
        <w:t>stb.</w:t>
      </w:r>
      <w:proofErr w:type="gramEnd"/>
      <w:r>
        <w:t xml:space="preserve"> elhelyezése, tárolása (3 nap elteltét követően)</w:t>
      </w:r>
      <w:r>
        <w:tab/>
        <w:t>30,- Ft/m</w:t>
      </w:r>
      <w:r>
        <w:rPr>
          <w:vertAlign w:val="superscript"/>
        </w:rPr>
        <w:t>2</w:t>
      </w:r>
      <w:r>
        <w:t>/nap</w:t>
      </w:r>
    </w:p>
    <w:p w:rsidR="00B00758" w:rsidRDefault="00B00758" w:rsidP="00B00758">
      <w:pPr>
        <w:jc w:val="both"/>
      </w:pPr>
      <w:r>
        <w:t> </w:t>
      </w:r>
    </w:p>
    <w:p w:rsidR="00B00758" w:rsidRDefault="00B00758" w:rsidP="00B00758">
      <w:pPr>
        <w:tabs>
          <w:tab w:val="right" w:pos="7740"/>
        </w:tabs>
        <w:jc w:val="both"/>
      </w:pPr>
      <w:r>
        <w:t xml:space="preserve">3.) Alkalmi </w:t>
      </w:r>
      <w:proofErr w:type="gramStart"/>
      <w:r>
        <w:t>árusítás</w:t>
      </w:r>
      <w:r>
        <w:tab/>
        <w:t xml:space="preserve">   500</w:t>
      </w:r>
      <w:proofErr w:type="gramEnd"/>
      <w:r>
        <w:t>,- Ft/m</w:t>
      </w:r>
      <w:r>
        <w:rPr>
          <w:vertAlign w:val="superscript"/>
        </w:rPr>
        <w:t>2</w:t>
      </w:r>
      <w:r>
        <w:t>/nap</w:t>
      </w:r>
    </w:p>
    <w:p w:rsidR="00B00758" w:rsidRDefault="00B00758" w:rsidP="00B00758">
      <w:pPr>
        <w:jc w:val="both"/>
      </w:pPr>
      <w:r>
        <w:t> </w:t>
      </w:r>
    </w:p>
    <w:p w:rsidR="00B00758" w:rsidRDefault="00B00758" w:rsidP="00B00758">
      <w:pPr>
        <w:tabs>
          <w:tab w:val="right" w:pos="7740"/>
        </w:tabs>
        <w:jc w:val="both"/>
      </w:pPr>
      <w:r>
        <w:t>4.) Mozgóárusítás</w:t>
      </w:r>
      <w:r>
        <w:tab/>
        <w:t>600,- Ft/nap</w:t>
      </w:r>
    </w:p>
    <w:p w:rsidR="00B00758" w:rsidRDefault="00B00758" w:rsidP="00B00758">
      <w:pPr>
        <w:tabs>
          <w:tab w:val="right" w:pos="7740"/>
        </w:tabs>
        <w:jc w:val="both"/>
      </w:pPr>
    </w:p>
    <w:p w:rsidR="00B00758" w:rsidRDefault="00B00758" w:rsidP="00B00758">
      <w:pPr>
        <w:tabs>
          <w:tab w:val="right" w:pos="7740"/>
        </w:tabs>
        <w:jc w:val="both"/>
      </w:pPr>
    </w:p>
    <w:p w:rsidR="00B00758" w:rsidRDefault="00B00758" w:rsidP="00B00758">
      <w:pPr>
        <w:jc w:val="both"/>
      </w:pPr>
      <w:r>
        <w:t> </w:t>
      </w:r>
    </w:p>
    <w:p w:rsidR="00B00758" w:rsidRDefault="00B00758" w:rsidP="00B00758"/>
    <w:p w:rsidR="00F463B7" w:rsidRDefault="00F463B7"/>
    <w:sectPr w:rsidR="00F463B7" w:rsidSect="00B00758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758" w:rsidRDefault="00B00758" w:rsidP="00B00758">
      <w:r>
        <w:separator/>
      </w:r>
    </w:p>
  </w:endnote>
  <w:endnote w:type="continuationSeparator" w:id="0">
    <w:p w:rsidR="00B00758" w:rsidRDefault="00B00758" w:rsidP="00B00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758" w:rsidRDefault="00B00758" w:rsidP="00B00758">
      <w:r>
        <w:separator/>
      </w:r>
    </w:p>
  </w:footnote>
  <w:footnote w:type="continuationSeparator" w:id="0">
    <w:p w:rsidR="00B00758" w:rsidRDefault="00B00758" w:rsidP="00B00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758"/>
    <w:rsid w:val="00B00758"/>
    <w:rsid w:val="00F4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0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qFormat/>
    <w:rsid w:val="00B00758"/>
    <w:pPr>
      <w:keepNext/>
      <w:jc w:val="center"/>
      <w:outlineLvl w:val="1"/>
    </w:pPr>
    <w:rPr>
      <w:rFonts w:ascii="Century Gothic" w:hAnsi="Century Gothic"/>
      <w:b/>
      <w:bCs/>
      <w:lang/>
    </w:rPr>
  </w:style>
  <w:style w:type="paragraph" w:styleId="Cmsor3">
    <w:name w:val="heading 3"/>
    <w:basedOn w:val="Norml"/>
    <w:link w:val="Cmsor3Char"/>
    <w:qFormat/>
    <w:rsid w:val="00B00758"/>
    <w:pPr>
      <w:keepNext/>
      <w:jc w:val="both"/>
      <w:outlineLvl w:val="2"/>
    </w:pPr>
    <w:rPr>
      <w:rFonts w:ascii="Century Gothic" w:hAnsi="Century Gothic"/>
      <w:b/>
      <w:bCs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00758"/>
    <w:rPr>
      <w:rFonts w:ascii="Century Gothic" w:eastAsia="Calibri" w:hAnsi="Century Gothic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B00758"/>
    <w:rPr>
      <w:rFonts w:ascii="Century Gothic" w:eastAsia="Calibri" w:hAnsi="Century Gothic" w:cs="Times New Roman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B00758"/>
    <w:rPr>
      <w:lang/>
    </w:rPr>
  </w:style>
  <w:style w:type="character" w:customStyle="1" w:styleId="LbjegyzetszvegChar">
    <w:name w:val="Lábjegyzetszöveg Char"/>
    <w:basedOn w:val="Bekezdsalapbettpusa"/>
    <w:link w:val="Lbjegyzetszveg"/>
    <w:semiHidden/>
    <w:rsid w:val="00B00758"/>
    <w:rPr>
      <w:rFonts w:ascii="Times New Roman" w:eastAsia="Calibri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semiHidden/>
    <w:rsid w:val="00B00758"/>
    <w:rPr>
      <w:rFonts w:cs="Times New Roman"/>
      <w:vertAlign w:val="superscript"/>
    </w:rPr>
  </w:style>
  <w:style w:type="paragraph" w:styleId="Listaszerbekezds">
    <w:name w:val="List Paragraph"/>
    <w:basedOn w:val="Norml"/>
    <w:uiPriority w:val="34"/>
    <w:qFormat/>
    <w:rsid w:val="00B00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568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Renáta</cp:lastModifiedBy>
  <cp:revision>1</cp:revision>
  <dcterms:created xsi:type="dcterms:W3CDTF">2016-10-24T15:20:00Z</dcterms:created>
  <dcterms:modified xsi:type="dcterms:W3CDTF">2016-10-24T15:24:00Z</dcterms:modified>
</cp:coreProperties>
</file>