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AA" w:rsidRPr="00EA671A" w:rsidRDefault="002472AA" w:rsidP="002472AA">
      <w:pPr>
        <w:shd w:val="clear" w:color="auto" w:fill="FFFFFF"/>
        <w:jc w:val="right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1. </w:t>
      </w:r>
      <w:proofErr w:type="spellStart"/>
      <w:proofErr w:type="gramStart"/>
      <w:r>
        <w:rPr>
          <w:rFonts w:ascii="Cambria" w:hAnsi="Cambria"/>
          <w:color w:val="000000"/>
          <w:sz w:val="22"/>
          <w:szCs w:val="22"/>
        </w:rPr>
        <w:t>melléklet</w:t>
      </w:r>
      <w:proofErr w:type="spellEnd"/>
      <w:proofErr w:type="gramEnd"/>
      <w:r>
        <w:rPr>
          <w:rFonts w:ascii="Cambria" w:hAnsi="Cambria"/>
          <w:color w:val="000000"/>
          <w:sz w:val="22"/>
          <w:szCs w:val="22"/>
        </w:rPr>
        <w:t xml:space="preserve"> a 21/2014.(XII.1.</w:t>
      </w:r>
      <w:r w:rsidRPr="00EA671A"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 w:rsidRPr="00EA671A">
        <w:rPr>
          <w:rFonts w:ascii="Cambria" w:hAnsi="Cambria"/>
          <w:color w:val="000000"/>
          <w:sz w:val="22"/>
          <w:szCs w:val="22"/>
        </w:rPr>
        <w:t>önkormányzati</w:t>
      </w:r>
      <w:proofErr w:type="spellEnd"/>
      <w:r w:rsidRPr="00EA671A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EA671A">
        <w:rPr>
          <w:rFonts w:ascii="Cambria" w:hAnsi="Cambria"/>
          <w:color w:val="000000"/>
          <w:sz w:val="22"/>
          <w:szCs w:val="22"/>
        </w:rPr>
        <w:t>rendelethez</w:t>
      </w:r>
      <w:proofErr w:type="spellEnd"/>
      <w:r w:rsidRPr="00EA671A">
        <w:rPr>
          <w:rFonts w:ascii="Cambria" w:hAnsi="Cambria"/>
          <w:color w:val="000000"/>
          <w:sz w:val="22"/>
          <w:szCs w:val="22"/>
        </w:rPr>
        <w:t xml:space="preserve"> </w:t>
      </w:r>
    </w:p>
    <w:p w:rsidR="002472AA" w:rsidRPr="00EA671A" w:rsidRDefault="002472AA" w:rsidP="002472AA">
      <w:pPr>
        <w:shd w:val="clear" w:color="auto" w:fill="FFFFFF"/>
        <w:rPr>
          <w:rFonts w:ascii="Cambria" w:hAnsi="Cambria"/>
          <w:color w:val="000000"/>
          <w:sz w:val="22"/>
          <w:szCs w:val="22"/>
        </w:rPr>
      </w:pPr>
    </w:p>
    <w:p w:rsidR="002472AA" w:rsidRPr="00EA671A" w:rsidRDefault="002472AA" w:rsidP="002472AA">
      <w:pPr>
        <w:shd w:val="clear" w:color="auto" w:fill="FFFFFF"/>
        <w:autoSpaceDE w:val="0"/>
        <w:autoSpaceDN w:val="0"/>
        <w:rPr>
          <w:rFonts w:ascii="Cambria" w:hAnsi="Cambria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7553"/>
      </w:tblGrid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kormányzati</w:t>
            </w:r>
            <w:proofErr w:type="spellEnd"/>
            <w:r w:rsidRPr="00EA671A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funkció</w:t>
            </w:r>
            <w:proofErr w:type="spellEnd"/>
            <w:r w:rsidRPr="00EA671A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megnevezés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Önkormányzatok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és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önkormányzati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hivatalok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jogalkotó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és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általános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igazgatási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tevékenysége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Köztemető-fenntartás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és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működtetés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Az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önkormányzati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vagyonnal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való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gazdálkodással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kapcsolatos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feladatok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Rövid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időtartamú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közfoglalkoztatás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Start-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munka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program –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téli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közfoglalkoztatás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Hosszabb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időtartamú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közfoglalkoztatás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 xml:space="preserve">041237 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>Közfoglalkoztatási</w:t>
            </w:r>
            <w:proofErr w:type="spellEnd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>mintaprogram</w:t>
            </w:r>
            <w:proofErr w:type="spellEnd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>új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042180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Állat-egészségügy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Közutak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hidak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alagutak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üzemeltetése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fenntartása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052020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pStyle w:val="NormlWeb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Fonts w:ascii="Cambria" w:hAnsi="Cambria" w:cs="Tahoma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/>
                <w:color w:val="000000"/>
                <w:sz w:val="22"/>
                <w:szCs w:val="22"/>
              </w:rPr>
              <w:t xml:space="preserve"> Szennyvíz gyűjt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ése, tisztítása, elhelyezése </w:t>
            </w:r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052080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Szennyvízcsatorna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építése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fenntartás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üzemeltetése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063080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Vízellátással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kapcsolatos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közmű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építése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fenntartása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üzemeltetése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Közvilágítás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Zöldterület-kezelés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Város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és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községgazdálkodási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egyéb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szolgáltatások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Háziorvosi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alapellátás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072112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Háziorvosi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ügyeleti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ellátás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072311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Fogorvosi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alapellátás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074031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Család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és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nővédelmi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egészségügyi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gondozás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081041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Versenysport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utánpótlás-nevelési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tevékenység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támogatása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r>
              <w:rPr>
                <w:rFonts w:ascii="Cambria" w:hAnsi="Cambria" w:cs="Tahoma"/>
                <w:color w:val="000000"/>
                <w:sz w:val="22"/>
                <w:szCs w:val="22"/>
              </w:rPr>
              <w:t>082030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Művészeti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tevékenységek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kivéve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színház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>)</w:t>
            </w:r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r>
              <w:rPr>
                <w:rFonts w:ascii="Cambria" w:hAnsi="Cambria" w:cs="Tahoma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Könyvtári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szolgáltatások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r>
              <w:rPr>
                <w:rFonts w:ascii="Cambria" w:hAnsi="Cambria" w:cs="Tahoma"/>
                <w:color w:val="000000"/>
                <w:sz w:val="22"/>
                <w:szCs w:val="22"/>
              </w:rPr>
              <w:t>082063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Múzeumi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kiállítási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tevékenység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r>
              <w:rPr>
                <w:rFonts w:ascii="Cambria" w:hAnsi="Cambria" w:cs="Tahoma"/>
                <w:color w:val="000000"/>
                <w:sz w:val="22"/>
                <w:szCs w:val="22"/>
              </w:rPr>
              <w:t>082091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Közművelődés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közösségi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társadalmi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részvétel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fejlesztése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r>
              <w:rPr>
                <w:rFonts w:ascii="Cambria" w:hAnsi="Cambria" w:cs="Tahoma"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Közművelődés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hagyományos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közösségi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kulturális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értékek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gondozása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r>
              <w:rPr>
                <w:rFonts w:ascii="Cambria" w:hAnsi="Cambria" w:cs="Tahoma"/>
                <w:color w:val="000000"/>
                <w:sz w:val="22"/>
                <w:szCs w:val="22"/>
              </w:rPr>
              <w:t>082093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Közművelődés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egész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életre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kiterjedő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tanulás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amatőr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művészetek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r>
              <w:rPr>
                <w:rFonts w:ascii="Cambria" w:hAnsi="Cambria" w:cs="Tahoma"/>
                <w:color w:val="000000"/>
                <w:sz w:val="22"/>
                <w:szCs w:val="22"/>
              </w:rPr>
              <w:t>082094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Közművelődés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kulturális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alapú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gazdaságfejlesztés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r>
              <w:rPr>
                <w:rFonts w:ascii="Cambria" w:hAnsi="Cambria" w:cs="Tahoma"/>
                <w:color w:val="000000"/>
                <w:sz w:val="22"/>
                <w:szCs w:val="22"/>
              </w:rPr>
              <w:t>083020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Könyvkiadás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7553" w:type="dxa"/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Óvodai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nevelés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ellátás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működtetési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feladatai</w:t>
            </w:r>
            <w:proofErr w:type="spellEnd"/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102030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Idősek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demens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betegek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nappali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ellátása</w:t>
            </w:r>
            <w:proofErr w:type="spellEnd"/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104030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Gyermekek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napközbeni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ellátása</w:t>
            </w:r>
            <w:proofErr w:type="spellEnd"/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Gyermekjóléti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szolgáltatások</w:t>
            </w:r>
            <w:proofErr w:type="spellEnd"/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r>
              <w:rPr>
                <w:rFonts w:ascii="Cambria" w:hAnsi="Cambria" w:cs="Tahoma"/>
                <w:color w:val="000000"/>
                <w:sz w:val="22"/>
                <w:szCs w:val="22"/>
              </w:rPr>
              <w:t>106010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Lakóingatlan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szociális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célú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bérbeadása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Tahoma"/>
                <w:color w:val="000000"/>
                <w:sz w:val="22"/>
                <w:szCs w:val="22"/>
              </w:rPr>
              <w:t>üzemeltetése</w:t>
            </w:r>
            <w:proofErr w:type="spellEnd"/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 xml:space="preserve">106020 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>Lakásfenntartással</w:t>
            </w:r>
            <w:proofErr w:type="spellEnd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>lakhatással</w:t>
            </w:r>
            <w:proofErr w:type="spellEnd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>összefüggő</w:t>
            </w:r>
            <w:proofErr w:type="spellEnd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Tahoma"/>
                <w:color w:val="000000"/>
                <w:sz w:val="22"/>
                <w:szCs w:val="22"/>
              </w:rPr>
              <w:t>ellátások</w:t>
            </w:r>
            <w:proofErr w:type="spellEnd"/>
            <w:r>
              <w:rPr>
                <w:rFonts w:ascii="Cambria" w:hAnsi="Cambri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Szociális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étkeztetés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Házi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segítségnyújtás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107053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Jelzőrendszeres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házi</w:t>
            </w:r>
            <w:proofErr w:type="spellEnd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segítségnyújtás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107054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 w:rsidRPr="00EA671A">
              <w:rPr>
                <w:rFonts w:ascii="Cambria" w:hAnsi="Cambria" w:cs="Arial"/>
                <w:color w:val="000000"/>
                <w:sz w:val="22"/>
                <w:szCs w:val="22"/>
              </w:rPr>
              <w:t>Családsegítés</w:t>
            </w:r>
            <w:proofErr w:type="spellEnd"/>
          </w:p>
        </w:tc>
      </w:tr>
      <w:tr w:rsidR="002472AA" w:rsidRPr="00EA671A" w:rsidTr="00A571C2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107055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AA" w:rsidRPr="00EA671A" w:rsidRDefault="002472AA" w:rsidP="00A571C2">
            <w:pPr>
              <w:shd w:val="clear" w:color="auto" w:fill="FFFFFF"/>
              <w:autoSpaceDE w:val="0"/>
              <w:autoSpaceDN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Falugondnoki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tanyagondnoki</w:t>
            </w:r>
            <w:proofErr w:type="spellEnd"/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00"/>
                <w:sz w:val="22"/>
                <w:szCs w:val="22"/>
              </w:rPr>
              <w:t>szolgáltatás</w:t>
            </w:r>
            <w:proofErr w:type="spellEnd"/>
          </w:p>
        </w:tc>
      </w:tr>
    </w:tbl>
    <w:p w:rsidR="002472AA" w:rsidRPr="00EA671A" w:rsidRDefault="002472AA" w:rsidP="002472AA">
      <w:pPr>
        <w:shd w:val="clear" w:color="auto" w:fill="FFFFFF"/>
        <w:autoSpaceDE w:val="0"/>
        <w:autoSpaceDN w:val="0"/>
        <w:rPr>
          <w:rFonts w:ascii="Cambria" w:hAnsi="Cambria" w:cs="Arial"/>
          <w:color w:val="000000"/>
          <w:sz w:val="22"/>
          <w:szCs w:val="22"/>
        </w:rPr>
      </w:pPr>
    </w:p>
    <w:p w:rsidR="002472AA" w:rsidRPr="00EA671A" w:rsidRDefault="002472AA" w:rsidP="002472AA">
      <w:pPr>
        <w:shd w:val="clear" w:color="auto" w:fill="FFFFFF"/>
        <w:rPr>
          <w:rFonts w:ascii="Cambria" w:hAnsi="Cambria"/>
          <w:color w:val="000000"/>
          <w:sz w:val="22"/>
          <w:szCs w:val="22"/>
        </w:rPr>
      </w:pPr>
    </w:p>
    <w:p w:rsidR="002472AA" w:rsidRPr="00EA671A" w:rsidRDefault="002472AA" w:rsidP="002472AA">
      <w:pPr>
        <w:shd w:val="clear" w:color="auto" w:fill="FFFFFF"/>
        <w:rPr>
          <w:rFonts w:ascii="Cambria" w:hAnsi="Cambria"/>
          <w:color w:val="000000"/>
          <w:sz w:val="22"/>
          <w:szCs w:val="22"/>
        </w:rPr>
      </w:pPr>
    </w:p>
    <w:p w:rsidR="002472AA" w:rsidRPr="00EA671A" w:rsidRDefault="002472AA" w:rsidP="002472AA">
      <w:pPr>
        <w:shd w:val="clear" w:color="auto" w:fill="FFFFFF"/>
        <w:rPr>
          <w:rFonts w:ascii="Cambria" w:hAnsi="Cambria"/>
          <w:color w:val="000000"/>
          <w:sz w:val="22"/>
          <w:szCs w:val="22"/>
        </w:rPr>
      </w:pPr>
    </w:p>
    <w:p w:rsidR="002472AA" w:rsidRPr="00EA671A" w:rsidRDefault="002472AA" w:rsidP="002472AA">
      <w:pPr>
        <w:shd w:val="clear" w:color="auto" w:fill="FFFFFF"/>
        <w:rPr>
          <w:rFonts w:ascii="Cambria" w:hAnsi="Cambria"/>
          <w:color w:val="000000"/>
          <w:sz w:val="22"/>
          <w:szCs w:val="22"/>
        </w:rPr>
      </w:pPr>
    </w:p>
    <w:p w:rsidR="002472AA" w:rsidRPr="00EA671A" w:rsidRDefault="002472AA" w:rsidP="002472AA">
      <w:pPr>
        <w:shd w:val="clear" w:color="auto" w:fill="FFFFFF"/>
        <w:rPr>
          <w:rFonts w:ascii="Cambria" w:hAnsi="Cambria"/>
          <w:color w:val="000000"/>
          <w:sz w:val="22"/>
          <w:szCs w:val="22"/>
        </w:rPr>
      </w:pPr>
    </w:p>
    <w:p w:rsidR="002472AA" w:rsidRPr="00EA671A" w:rsidRDefault="002472AA" w:rsidP="002472AA">
      <w:pPr>
        <w:shd w:val="clear" w:color="auto" w:fill="FFFFFF"/>
        <w:rPr>
          <w:rFonts w:ascii="Cambria" w:hAnsi="Cambria"/>
          <w:color w:val="000000"/>
          <w:sz w:val="22"/>
          <w:szCs w:val="22"/>
        </w:rPr>
      </w:pPr>
    </w:p>
    <w:p w:rsidR="002472AA" w:rsidRDefault="002472AA" w:rsidP="002472AA"/>
    <w:p w:rsidR="0038752E" w:rsidRDefault="0038752E">
      <w:bookmarkStart w:id="0" w:name="_GoBack"/>
      <w:bookmarkEnd w:id="0"/>
    </w:p>
    <w:sectPr w:rsidR="0038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AA"/>
    <w:rsid w:val="002472AA"/>
    <w:rsid w:val="003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6033A-3002-42B7-B878-C0B68899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472AA"/>
    <w:pPr>
      <w:spacing w:before="100" w:beforeAutospacing="1" w:after="100" w:afterAutospacing="1"/>
    </w:pPr>
    <w:rPr>
      <w:rFonts w:ascii="vé" w:hAnsi="vé"/>
      <w:i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2014-12-26T16:43:00Z</dcterms:created>
  <dcterms:modified xsi:type="dcterms:W3CDTF">2014-12-26T16:43:00Z</dcterms:modified>
</cp:coreProperties>
</file>