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5F" w:rsidRPr="00354D13" w:rsidRDefault="00865F5F" w:rsidP="00865F5F">
      <w:pPr>
        <w:suppressAutoHyphens/>
        <w:autoSpaceDN w:val="0"/>
        <w:ind w:left="360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65F5F" w:rsidRDefault="00865F5F" w:rsidP="00865F5F">
      <w:pPr>
        <w:suppressAutoHyphens/>
        <w:autoSpaceDN w:val="0"/>
        <w:ind w:left="360"/>
        <w:jc w:val="right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65F5F" w:rsidRPr="00354D13" w:rsidRDefault="00865F5F" w:rsidP="00865F5F">
      <w:pPr>
        <w:suppressAutoHyphens/>
        <w:autoSpaceDN w:val="0"/>
        <w:ind w:left="360"/>
        <w:jc w:val="right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354D13">
        <w:rPr>
          <w:rFonts w:ascii="Times New Roman" w:eastAsia="Calibri" w:hAnsi="Times New Roman" w:cs="Times New Roman"/>
          <w:sz w:val="24"/>
          <w:szCs w:val="24"/>
        </w:rPr>
        <w:t>/2020. (VII</w:t>
      </w:r>
      <w:r>
        <w:rPr>
          <w:rFonts w:ascii="Times New Roman" w:eastAsia="Calibri" w:hAnsi="Times New Roman" w:cs="Times New Roman"/>
          <w:sz w:val="24"/>
          <w:szCs w:val="24"/>
        </w:rPr>
        <w:t>.9.</w:t>
      </w:r>
      <w:r w:rsidRPr="00354D13">
        <w:rPr>
          <w:rFonts w:ascii="Times New Roman" w:eastAsia="Calibri" w:hAnsi="Times New Roman" w:cs="Times New Roman"/>
          <w:sz w:val="24"/>
          <w:szCs w:val="24"/>
        </w:rPr>
        <w:t>) rendelet 1. melléklete</w:t>
      </w:r>
    </w:p>
    <w:p w:rsidR="00865F5F" w:rsidRPr="00354D13" w:rsidRDefault="00865F5F" w:rsidP="00865F5F">
      <w:pPr>
        <w:suppressAutoHyphens/>
        <w:autoSpaceDN w:val="0"/>
        <w:ind w:left="360"/>
        <w:jc w:val="right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54D13">
        <w:rPr>
          <w:rFonts w:ascii="Times New Roman" w:eastAsia="Calibri" w:hAnsi="Times New Roman" w:cs="Times New Roman"/>
          <w:sz w:val="24"/>
          <w:szCs w:val="24"/>
        </w:rPr>
        <w:t>„A 12/2019. (IV.25) önkormányzati rendelet 1. melléklete”</w:t>
      </w:r>
    </w:p>
    <w:p w:rsidR="00865F5F" w:rsidRPr="00354D13" w:rsidRDefault="00865F5F" w:rsidP="00865F5F">
      <w:pPr>
        <w:keepNext/>
        <w:widowControl w:val="0"/>
        <w:suppressAutoHyphens/>
        <w:jc w:val="left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865F5F" w:rsidRPr="00354D13" w:rsidRDefault="00865F5F" w:rsidP="00865F5F">
      <w:pPr>
        <w:keepNext/>
        <w:widowControl w:val="0"/>
        <w:numPr>
          <w:ilvl w:val="0"/>
          <w:numId w:val="1"/>
        </w:numPr>
        <w:suppressAutoHyphens/>
        <w:spacing w:after="20" w:line="100" w:lineRule="atLeast"/>
        <w:jc w:val="left"/>
        <w:textAlignment w:val="baseline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kötelező közművelődési feladatokat ellátó közművelődési intézmény: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Magyary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Zoltán Művelődési Központ</w:t>
      </w:r>
    </w:p>
    <w:p w:rsidR="00865F5F" w:rsidRPr="00354D13" w:rsidRDefault="00865F5F" w:rsidP="00865F5F">
      <w:pPr>
        <w:spacing w:after="20"/>
        <w:ind w:firstLine="708"/>
        <w:jc w:val="lef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65F5F" w:rsidRPr="00354D13" w:rsidRDefault="00865F5F" w:rsidP="00865F5F">
      <w:pPr>
        <w:spacing w:after="20"/>
        <w:ind w:firstLine="708"/>
        <w:jc w:val="lef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1.1.Fenntartó: Tatai Városkapu Közhasznú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Zrt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</w:p>
    <w:p w:rsidR="00865F5F" w:rsidRPr="00354D13" w:rsidRDefault="00865F5F" w:rsidP="00865F5F">
      <w:pPr>
        <w:spacing w:after="20"/>
        <w:jc w:val="lef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65F5F" w:rsidRPr="00354D13" w:rsidRDefault="00865F5F" w:rsidP="00865F5F">
      <w:pPr>
        <w:spacing w:after="20"/>
        <w:ind w:left="708" w:firstLine="708"/>
        <w:jc w:val="left"/>
        <w:rPr>
          <w:rFonts w:ascii="Times" w:eastAsia="Calibri" w:hAnsi="Times" w:cs="Times"/>
          <w:color w:val="000000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1.2.Székhely: 2890 Tata Váralja u. 4.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ab/>
      </w:r>
      <w:r w:rsidRPr="00354D1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ab/>
        <w:t>1.3.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Telephelyei: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1.3.1.2890 Tata 3306/5 hrsz. (Szabadtéri színpad)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       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1.3.2. 2890 Tata 4005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4008 hrsz. (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Ökoturisztikai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Központ)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      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1.3.3. 2890 Tata 3306/3 hrsz. (Angolpark)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       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1.3.4. 2890 Tata 3306/6 hrsz. (Nyári lak)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1.3.5.2890 Tata 3306/4 hrsz. (Kiskastély)</w:t>
      </w:r>
    </w:p>
    <w:p w:rsidR="00865F5F" w:rsidRPr="00354D13" w:rsidRDefault="00865F5F" w:rsidP="00865F5F">
      <w:pPr>
        <w:spacing w:after="20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1.3.6.2890 Tata 207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(Söréttorony)</w:t>
      </w:r>
    </w:p>
    <w:p w:rsidR="00865F5F" w:rsidRPr="00354D13" w:rsidRDefault="00865F5F" w:rsidP="00865F5F">
      <w:pPr>
        <w:spacing w:after="20"/>
        <w:ind w:firstLine="708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1.4.Feladatellátás formája: közművelődési intézmény</w:t>
      </w:r>
    </w:p>
    <w:p w:rsidR="00865F5F" w:rsidRPr="00354D13" w:rsidRDefault="00865F5F" w:rsidP="00865F5F">
      <w:pPr>
        <w:spacing w:after="20"/>
        <w:ind w:firstLine="708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1.5.A közművelődési intézmény típusa: művelődési központ</w:t>
      </w:r>
    </w:p>
    <w:p w:rsidR="00865F5F" w:rsidRPr="00354D13" w:rsidRDefault="00865F5F" w:rsidP="00865F5F">
      <w:pPr>
        <w:spacing w:after="20"/>
        <w:ind w:left="708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1.6..A feladatellátás módja: az önkormányzat 100 %-os tulajdonában álló nonprofit gazdasági társaság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keepNext/>
        <w:widowControl w:val="0"/>
        <w:numPr>
          <w:ilvl w:val="0"/>
          <w:numId w:val="1"/>
        </w:numPr>
        <w:suppressAutoHyphens/>
        <w:spacing w:after="20" w:line="100" w:lineRule="atLeast"/>
        <w:jc w:val="left"/>
        <w:textAlignment w:val="baseline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A 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Tatai Városkapu Közhasznú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Zrt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által ellátott közművelődési alapszolgáltatások:</w:t>
      </w:r>
    </w:p>
    <w:p w:rsidR="00865F5F" w:rsidRPr="00354D13" w:rsidRDefault="00865F5F" w:rsidP="00865F5F">
      <w:pPr>
        <w:spacing w:after="20"/>
        <w:ind w:left="36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2.1. A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művelődő közösségek létrejöttének elősegítése, működésük támogatása, fejlődésük segítése, a közművelődési tevékenységek és a művelődő közösségek számára helyszín biztosítása </w:t>
      </w:r>
      <w:r w:rsidRPr="00354D13">
        <w:rPr>
          <w:rFonts w:ascii="Times New Roman" w:eastAsia="Calibri" w:hAnsi="Times New Roman" w:cs="Garamond"/>
          <w:sz w:val="24"/>
          <w:szCs w:val="24"/>
        </w:rPr>
        <w:t>alapszolgáltatás körében az alábbi feladatokat látja el:</w:t>
      </w:r>
    </w:p>
    <w:p w:rsidR="00865F5F" w:rsidRPr="00354D13" w:rsidRDefault="00865F5F" w:rsidP="00865F5F">
      <w:pPr>
        <w:spacing w:after="20"/>
        <w:ind w:left="36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művelődő közösségnek rendszeres és alkalomszerű művelődési vagy közösségi tevékenysége végzésének helyszínét biztosítja,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a művelődő közösség számára bemutatkozási lehetőségeket teremt,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c) fórumot szervez </w:t>
      </w:r>
      <w:r w:rsidRPr="00354D13">
        <w:rPr>
          <w:rFonts w:ascii="Times New Roman" w:eastAsia="Calibri" w:hAnsi="Times New Roman" w:cs="Garamond"/>
          <w:iCs/>
          <w:sz w:val="24"/>
          <w:szCs w:val="24"/>
        </w:rPr>
        <w:t>a Közművelődési Kerekasztal bevonásával,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a művelődő közösségek vezetőinek részvételével, ahol a művelődő közösségek megfogalmazhatják a feladatellátással kapcsolatos észrevételeiket, javaslataikat.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ind w:left="36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2.2. A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közösségi és társadalmi részvétel fejlesztése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865F5F" w:rsidRPr="00354D13" w:rsidRDefault="00865F5F" w:rsidP="00865F5F">
      <w:pPr>
        <w:spacing w:after="20"/>
        <w:ind w:left="81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támogatja az önkéntes tevékenységeket, az önkéntességgel kapcsolatos programokat, vagy szolgáltatásokat szervez,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lastRenderedPageBreak/>
        <w:t>d) a különböző kultúrák közötti kapcsolatok kiépítését és fenntartását elősegítő programokat, tevékenységeket vagy szolgáltatásokat szervez,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e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f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a lelki egészség megőrzését szolgáló, a függőséget, devianciát, áldozattá válást megelőző programokat, tevékenységeket vagy szolgáltatásokat szervez,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g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a települési önkormányzattal együttműködésben szakmai támogatást biztosít a helyi partnerségi egyeztetési, együttműködési folyamatok kialakításához és működtetéséhez, biztosítja a közösségi tervezési folyamatok szakmai, szervezési és technikai feltételeit, valamint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h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az a)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-g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>) pontban foglalt tevékenységek megvalósításában szakmai és infrastrukturális támogatást nyújt.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2.3.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Az egész életre kiterjedő tanulás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iskolarendszeren kívüli tanfolyamokat, képzési alkalmakat szervez,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iskolarendszeren kívüli öntevékeny, önképző szakkörök, klubok, közösségek megalakulását, tevékenységét szervezi,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c) az életminőséget és életesélyt javító tanulási lehetőségeket szervez, támogatja azok megvalósulását,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d) népfőiskolai programokat, szabadegyetemeket szervez,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e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ismeretterjesztő alkalmakat szervez, támogatja azok megvalósítását és ismeretszerző lehetőségeket teremt, valamint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f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hozzásegít az elektronikus közszolgáltatások megismeréséhez, a digitális világban történő eligazodáshoz, az ezeket szolgáló eszközök alkalmazásához.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2.4.A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hagyományos közösségi kulturális értékek átörökítése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865F5F" w:rsidRPr="00354D13" w:rsidRDefault="00865F5F" w:rsidP="00865F5F">
      <w:pPr>
        <w:spacing w:after="20"/>
        <w:ind w:left="81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helytörténettel, a népművészettel, a népi iparművészettel és a település szellemi kulturális örökségével kapcsolatos csoportot, szakkört, klubot működtet, támogatja a művelődő közösségek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ezirányú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munkáját,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c) az anyanyelvápolás érdekében programokat, tevékenységeket, szolgáltatásokat szervez, támogatja a művelődő közösségek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ezirányú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munkáját,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d) a nemzeti, az európai és az egyetemes kultúra, továbbá a külhoni nemzetrészek kulturális értékeinek megismertetése érdekében programokat, tevékenységeket, szolgáltatásokat szervez,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e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>) a helyi vagy térségi nemzetiségi vagy kisebbségi közösségek bevonásával a nemzetiségi és más kisebbségi kultúra értékeinek megismertetése érdekében programokat, tevékenységeket, szolgáltatásokat szervez, támogatja azok megvalósítását, valamint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f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az ünnepek kultúrájának gondozása érdekében a helyi szokások figyelembevételével, a művelődő közösségek, illetve a hagyományos közösségi kulturális értékek átörökítésével </w:t>
      </w:r>
      <w:r w:rsidRPr="00354D13">
        <w:rPr>
          <w:rFonts w:ascii="Times New Roman" w:eastAsia="Calibri" w:hAnsi="Times New Roman" w:cs="Garamond"/>
          <w:sz w:val="24"/>
          <w:szCs w:val="24"/>
        </w:rPr>
        <w:lastRenderedPageBreak/>
        <w:t>foglalkozó közösségek bevonásával szervezi az állami, a nemzeti, a társadalmi és településhez kötődő ünnepek helyi alkalmait, támogatja azok megvalósítását.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2.5. Az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amatőr alkotó- és előadó-művészeti tevékenység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működését, valamint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b) az a) pont szerinti közösségek tevékenységének támogatása érdekében szakmai és infrastrukturális támogatást nyújt. 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2.6. A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tehetséggondozás és </w:t>
      </w:r>
      <w:proofErr w:type="spellStart"/>
      <w:r w:rsidRPr="00354D13">
        <w:rPr>
          <w:rFonts w:ascii="Times New Roman" w:eastAsia="Calibri" w:hAnsi="Times New Roman" w:cs="Garamond"/>
          <w:b/>
          <w:sz w:val="24"/>
          <w:szCs w:val="24"/>
        </w:rPr>
        <w:t>-fejlesztés</w:t>
      </w:r>
      <w:proofErr w:type="spellEnd"/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településen élő vagy tanuló hátrányos helyzetű személyek tehetségének kibontakoztatása, kompetenciáinak fejlesztése érdekében művészeti és egyéb foglalkozásokat, szakköröket, klubokat működtet, támogatja azok megvalósítását, valamint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felzárkóztatást segítő tanórán kívüli foglalkozásokat biztosít.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2.7.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Kulturális alapú gazdaságfejlesztés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helyi szellemi, épített és természeti örökségre építő közösségi és kreatív gazdaságot fejlesztő programokat, tevékenységeket és szolgáltatásokat szervez,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az egyéni és közösségi tudást és kreativitást erőforrásként értelmező és használó helyi gazdaságot fejlesztő programokat kezdeményez, támogatja azok megvalósítását,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c) a kulturális terület- és településfejlesztéssel, helyi vállalkozás- és termékfejlesztéssel, kreatív iparral, a kulturális turizmussal kapcsolatos programokat, tevékenységeket, szolgáltatásokat szervez, támogatja azok megvalósulását, valamint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d) hozzásegít az információs és kommunikációs technológiák, a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digitalizáció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kulturális alapú használatához.</w:t>
      </w: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865F5F" w:rsidRPr="00354D13" w:rsidRDefault="00865F5F" w:rsidP="00865F5F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31435D" w:rsidRDefault="0031435D">
      <w:bookmarkStart w:id="0" w:name="_GoBack"/>
      <w:bookmarkEnd w:id="0"/>
    </w:p>
    <w:sectPr w:rsidR="0031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1113E"/>
    <w:multiLevelType w:val="multilevel"/>
    <w:tmpl w:val="5218D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F"/>
    <w:rsid w:val="0031435D"/>
    <w:rsid w:val="00865F5F"/>
    <w:rsid w:val="00B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16993-C359-43B8-BEDC-3EB99255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5F5F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6514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2</cp:revision>
  <dcterms:created xsi:type="dcterms:W3CDTF">2020-07-09T14:18:00Z</dcterms:created>
  <dcterms:modified xsi:type="dcterms:W3CDTF">2020-07-09T14:20:00Z</dcterms:modified>
</cp:coreProperties>
</file>