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AD4" w:rsidRPr="00DF5AD4" w:rsidRDefault="00DF5AD4" w:rsidP="00DF5AD4">
      <w:pPr>
        <w:jc w:val="right"/>
        <w:rPr>
          <w:rFonts w:ascii="Calibri" w:hAnsi="Calibri"/>
          <w:i/>
          <w:sz w:val="22"/>
          <w:szCs w:val="22"/>
          <w:u w:val="single"/>
        </w:rPr>
      </w:pPr>
      <w:r w:rsidRPr="00DF5AD4">
        <w:rPr>
          <w:rFonts w:ascii="Calibri" w:hAnsi="Calibri"/>
          <w:i/>
          <w:sz w:val="22"/>
          <w:szCs w:val="22"/>
          <w:u w:val="single"/>
        </w:rPr>
        <w:t>Melléklet a 6/2013. (II.18.) önkormányzati rendelethez</w:t>
      </w:r>
    </w:p>
    <w:p w:rsidR="00DF5AD4" w:rsidRPr="00DF5AD4" w:rsidRDefault="00DF5AD4" w:rsidP="00DF5AD4">
      <w:pPr>
        <w:ind w:left="426" w:hanging="426"/>
        <w:jc w:val="center"/>
        <w:rPr>
          <w:rFonts w:ascii="Calibri" w:hAnsi="Calibri" w:cs="Century Gothic"/>
          <w:bCs/>
          <w:sz w:val="22"/>
          <w:szCs w:val="22"/>
        </w:rPr>
      </w:pPr>
    </w:p>
    <w:p w:rsidR="00DF5AD4" w:rsidRPr="00DF5AD4" w:rsidRDefault="00DF5AD4" w:rsidP="00DF5AD4">
      <w:pPr>
        <w:ind w:left="426"/>
        <w:jc w:val="center"/>
        <w:rPr>
          <w:rFonts w:ascii="Calibri" w:hAnsi="Calibri"/>
          <w:b/>
          <w:sz w:val="22"/>
          <w:szCs w:val="22"/>
        </w:rPr>
      </w:pPr>
      <w:r w:rsidRPr="00DF5AD4">
        <w:rPr>
          <w:rFonts w:ascii="Calibri" w:hAnsi="Calibri"/>
          <w:b/>
          <w:sz w:val="22"/>
          <w:szCs w:val="22"/>
        </w:rPr>
        <w:t xml:space="preserve">Településképi bejelentés alá tartozó építési tevékenységek </w:t>
      </w:r>
    </w:p>
    <w:p w:rsidR="00DF5AD4" w:rsidRPr="00DF5AD4" w:rsidRDefault="00DF5AD4" w:rsidP="00DF5AD4">
      <w:pPr>
        <w:ind w:left="426"/>
        <w:contextualSpacing/>
        <w:jc w:val="both"/>
        <w:rPr>
          <w:rFonts w:ascii="Calibri" w:eastAsia="Calibri" w:hAnsi="Calibri"/>
          <w:sz w:val="22"/>
          <w:szCs w:val="22"/>
          <w:lang w:eastAsia="en-US"/>
        </w:rPr>
      </w:pPr>
    </w:p>
    <w:tbl>
      <w:tblPr>
        <w:tblW w:w="935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8"/>
        <w:gridCol w:w="8938"/>
      </w:tblGrid>
      <w:tr w:rsidR="00DF5AD4" w:rsidRPr="00DF5AD4" w:rsidTr="00A1560E">
        <w:trPr>
          <w:trHeight w:val="280"/>
          <w:tblHeader/>
        </w:trPr>
        <w:tc>
          <w:tcPr>
            <w:tcW w:w="9356" w:type="dxa"/>
            <w:gridSpan w:val="2"/>
            <w:vMerge w:val="restart"/>
            <w:tcMar>
              <w:top w:w="15" w:type="dxa"/>
              <w:left w:w="75" w:type="dxa"/>
              <w:bottom w:w="15" w:type="dxa"/>
              <w:right w:w="75" w:type="dxa"/>
            </w:tcMar>
            <w:vAlign w:val="center"/>
            <w:hideMark/>
          </w:tcPr>
          <w:p w:rsidR="00DF5AD4" w:rsidRPr="00DF5AD4" w:rsidRDefault="00DF5AD4" w:rsidP="00DF5AD4">
            <w:pPr>
              <w:ind w:left="79" w:right="-23"/>
              <w:jc w:val="center"/>
              <w:rPr>
                <w:rFonts w:ascii="Calibri" w:hAnsi="Calibri"/>
                <w:b/>
                <w:sz w:val="18"/>
                <w:szCs w:val="18"/>
              </w:rPr>
            </w:pPr>
            <w:r w:rsidRPr="00DF5AD4">
              <w:rPr>
                <w:rFonts w:ascii="Calibri" w:hAnsi="Calibri"/>
                <w:b/>
                <w:sz w:val="18"/>
                <w:szCs w:val="18"/>
              </w:rPr>
              <w:t>Az építési tevékenység megnevezése *</w:t>
            </w:r>
          </w:p>
        </w:tc>
      </w:tr>
      <w:tr w:rsidR="00DF5AD4" w:rsidRPr="00DF5AD4" w:rsidTr="00A1560E">
        <w:trPr>
          <w:trHeight w:val="220"/>
          <w:tblHeader/>
        </w:trPr>
        <w:tc>
          <w:tcPr>
            <w:tcW w:w="9356" w:type="dxa"/>
            <w:gridSpan w:val="2"/>
            <w:vMerge/>
            <w:vAlign w:val="center"/>
            <w:hideMark/>
          </w:tcPr>
          <w:p w:rsidR="00DF5AD4" w:rsidRPr="00DF5AD4" w:rsidRDefault="00DF5AD4" w:rsidP="00DF5AD4">
            <w:pPr>
              <w:ind w:left="79" w:right="-23"/>
              <w:rPr>
                <w:rFonts w:ascii="Calibri" w:hAnsi="Calibri"/>
                <w:sz w:val="18"/>
                <w:szCs w:val="18"/>
              </w:rPr>
            </w:pPr>
          </w:p>
        </w:tc>
      </w:tr>
      <w:tr w:rsidR="00DF5AD4" w:rsidRPr="00DF5AD4" w:rsidTr="00A1560E">
        <w:trPr>
          <w:cantSplit/>
          <w:trHeight w:val="55"/>
        </w:trPr>
        <w:tc>
          <w:tcPr>
            <w:tcW w:w="418" w:type="dxa"/>
            <w:hideMark/>
          </w:tcPr>
          <w:p w:rsidR="00DF5AD4" w:rsidRPr="00DF5AD4" w:rsidRDefault="00DF5AD4" w:rsidP="00DF5AD4">
            <w:pPr>
              <w:spacing w:before="60" w:after="20"/>
              <w:ind w:left="79" w:right="-23"/>
              <w:rPr>
                <w:rFonts w:ascii="Calibri" w:hAnsi="Calibri"/>
                <w:sz w:val="18"/>
                <w:szCs w:val="18"/>
              </w:rPr>
            </w:pPr>
            <w:r w:rsidRPr="00DF5AD4">
              <w:rPr>
                <w:rFonts w:ascii="Calibri" w:hAnsi="Calibri"/>
                <w:sz w:val="18"/>
                <w:szCs w:val="18"/>
              </w:rPr>
              <w:t>1.</w:t>
            </w:r>
          </w:p>
        </w:tc>
        <w:tc>
          <w:tcPr>
            <w:tcW w:w="8938" w:type="dxa"/>
            <w:hideMark/>
          </w:tcPr>
          <w:p w:rsidR="00DF5AD4" w:rsidRPr="00DF5AD4" w:rsidRDefault="00DF5AD4" w:rsidP="00DF5AD4">
            <w:pPr>
              <w:ind w:left="79" w:right="127"/>
              <w:jc w:val="both"/>
              <w:rPr>
                <w:rFonts w:ascii="Calibri" w:hAnsi="Calibri"/>
                <w:sz w:val="18"/>
                <w:szCs w:val="18"/>
              </w:rPr>
            </w:pPr>
            <w:r w:rsidRPr="00DF5AD4">
              <w:rPr>
                <w:rFonts w:ascii="Calibri" w:hAnsi="Calibri"/>
                <w:bCs/>
                <w:sz w:val="18"/>
                <w:szCs w:val="18"/>
              </w:rPr>
              <w:t>A műemléki jelentőségű területen a telek közterületi határához legközelebb, de legfeljebb 50 méterre álló meglévő épület átalakításának kivételével az építési engedéllyel építhető építmény felújítása, helyreállítása, korszerűsítése, homlokzatának megváltoztatása, ha az építési tevékenységgel az építmény tartószerkezeti rendszerét vagy tartószerkezeti elemeit nem kell megváltoztatni, átalakítani, elbontani, kicserélni, megerősíteni vagy változatlan formában újjáépíteni.</w:t>
            </w:r>
          </w:p>
        </w:tc>
      </w:tr>
      <w:tr w:rsidR="00DF5AD4" w:rsidRPr="00DF5AD4" w:rsidTr="00A1560E">
        <w:trPr>
          <w:cantSplit/>
        </w:trPr>
        <w:tc>
          <w:tcPr>
            <w:tcW w:w="418" w:type="dxa"/>
            <w:hideMark/>
          </w:tcPr>
          <w:p w:rsidR="00DF5AD4" w:rsidRPr="00DF5AD4" w:rsidRDefault="00DF5AD4" w:rsidP="00DF5AD4">
            <w:pPr>
              <w:spacing w:before="60" w:after="20"/>
              <w:ind w:left="79" w:right="-23"/>
              <w:rPr>
                <w:rFonts w:ascii="Calibri" w:hAnsi="Calibri"/>
                <w:sz w:val="18"/>
                <w:szCs w:val="18"/>
              </w:rPr>
            </w:pPr>
            <w:r w:rsidRPr="00DF5AD4">
              <w:rPr>
                <w:rFonts w:ascii="Calibri" w:hAnsi="Calibri"/>
                <w:sz w:val="18"/>
                <w:szCs w:val="18"/>
              </w:rPr>
              <w:t>2.</w:t>
            </w:r>
          </w:p>
        </w:tc>
        <w:tc>
          <w:tcPr>
            <w:tcW w:w="8938" w:type="dxa"/>
            <w:hideMark/>
          </w:tcPr>
          <w:p w:rsidR="00DF5AD4" w:rsidRPr="00DF5AD4" w:rsidRDefault="00DF5AD4" w:rsidP="00DF5AD4">
            <w:pPr>
              <w:spacing w:before="60" w:after="20"/>
              <w:ind w:left="79" w:right="127"/>
              <w:rPr>
                <w:rFonts w:ascii="Calibri" w:hAnsi="Calibri"/>
                <w:sz w:val="18"/>
                <w:szCs w:val="18"/>
              </w:rPr>
            </w:pPr>
            <w:r w:rsidRPr="00DF5AD4">
              <w:rPr>
                <w:rFonts w:ascii="Calibri" w:hAnsi="Calibri"/>
                <w:bCs/>
                <w:sz w:val="18"/>
                <w:szCs w:val="18"/>
              </w:rPr>
              <w:t xml:space="preserve">Meglévő építmény utólagos hőszigetelése, homlokzati nyílászáró– áthidalóját nem érintő, (de más anyagú nyílászáróra </w:t>
            </w:r>
            <w:proofErr w:type="gramStart"/>
            <w:r w:rsidRPr="00DF5AD4">
              <w:rPr>
                <w:rFonts w:ascii="Calibri" w:hAnsi="Calibri"/>
                <w:bCs/>
                <w:sz w:val="18"/>
                <w:szCs w:val="18"/>
              </w:rPr>
              <w:t>történő )</w:t>
            </w:r>
            <w:proofErr w:type="gramEnd"/>
            <w:r w:rsidRPr="00DF5AD4">
              <w:rPr>
                <w:rFonts w:ascii="Calibri" w:hAnsi="Calibri"/>
                <w:bCs/>
                <w:sz w:val="18"/>
                <w:szCs w:val="18"/>
              </w:rPr>
              <w:t>– cseréje, a homlokzatfelület színezése, a homlokzat felületképzésének megváltoztatása</w:t>
            </w:r>
          </w:p>
        </w:tc>
      </w:tr>
      <w:tr w:rsidR="00DF5AD4" w:rsidRPr="00DF5AD4" w:rsidTr="00A1560E">
        <w:trPr>
          <w:cantSplit/>
        </w:trPr>
        <w:tc>
          <w:tcPr>
            <w:tcW w:w="418" w:type="dxa"/>
            <w:hideMark/>
          </w:tcPr>
          <w:p w:rsidR="00DF5AD4" w:rsidRPr="00DF5AD4" w:rsidRDefault="00DF5AD4" w:rsidP="00DF5AD4">
            <w:pPr>
              <w:spacing w:before="60" w:after="20"/>
              <w:ind w:left="79" w:right="-23"/>
              <w:rPr>
                <w:rFonts w:ascii="Calibri" w:hAnsi="Calibri"/>
                <w:bCs/>
                <w:sz w:val="18"/>
                <w:szCs w:val="18"/>
              </w:rPr>
            </w:pPr>
            <w:r w:rsidRPr="00DF5AD4">
              <w:rPr>
                <w:rFonts w:ascii="Calibri" w:hAnsi="Calibri"/>
                <w:bCs/>
                <w:sz w:val="18"/>
                <w:szCs w:val="18"/>
              </w:rPr>
              <w:t>3.</w:t>
            </w:r>
          </w:p>
        </w:tc>
        <w:tc>
          <w:tcPr>
            <w:tcW w:w="8938" w:type="dxa"/>
            <w:hideMark/>
          </w:tcPr>
          <w:p w:rsidR="00DF5AD4" w:rsidRPr="00DF5AD4" w:rsidRDefault="00DF5AD4" w:rsidP="00DF5AD4">
            <w:pPr>
              <w:ind w:left="79" w:right="127"/>
              <w:jc w:val="both"/>
              <w:rPr>
                <w:rFonts w:ascii="Calibri" w:hAnsi="Calibri"/>
                <w:bCs/>
                <w:sz w:val="18"/>
                <w:szCs w:val="18"/>
              </w:rPr>
            </w:pPr>
            <w:r w:rsidRPr="00DF5AD4">
              <w:rPr>
                <w:rFonts w:ascii="Calibri" w:hAnsi="Calibri"/>
                <w:bCs/>
                <w:sz w:val="18"/>
                <w:szCs w:val="18"/>
              </w:rPr>
              <w:t>Új, önálló (homlokzati falhoz rögzített vagy szabadon álló) égéstermék-elvezető kémény építése melynek magassága a 6,0 m-t nem haladja meg.</w:t>
            </w:r>
          </w:p>
        </w:tc>
      </w:tr>
      <w:tr w:rsidR="00DF5AD4" w:rsidRPr="00DF5AD4" w:rsidTr="00A1560E">
        <w:trPr>
          <w:cantSplit/>
        </w:trPr>
        <w:tc>
          <w:tcPr>
            <w:tcW w:w="418" w:type="dxa"/>
            <w:hideMark/>
          </w:tcPr>
          <w:p w:rsidR="00DF5AD4" w:rsidRPr="00DF5AD4" w:rsidRDefault="00DF5AD4" w:rsidP="00DF5AD4">
            <w:pPr>
              <w:spacing w:before="60" w:after="20"/>
              <w:ind w:left="79" w:right="-23"/>
              <w:rPr>
                <w:rFonts w:ascii="Calibri" w:hAnsi="Calibri"/>
                <w:sz w:val="18"/>
                <w:szCs w:val="18"/>
              </w:rPr>
            </w:pPr>
            <w:r w:rsidRPr="00DF5AD4">
              <w:rPr>
                <w:rFonts w:ascii="Calibri" w:hAnsi="Calibri"/>
                <w:sz w:val="18"/>
                <w:szCs w:val="18"/>
              </w:rPr>
              <w:t>4.</w:t>
            </w:r>
          </w:p>
        </w:tc>
        <w:tc>
          <w:tcPr>
            <w:tcW w:w="8938" w:type="dxa"/>
            <w:hideMark/>
          </w:tcPr>
          <w:p w:rsidR="00DF5AD4" w:rsidRPr="00DF5AD4" w:rsidRDefault="00DF5AD4" w:rsidP="00DF5AD4">
            <w:pPr>
              <w:ind w:left="79" w:right="127"/>
              <w:jc w:val="both"/>
              <w:rPr>
                <w:rFonts w:ascii="Calibri" w:hAnsi="Calibri"/>
                <w:sz w:val="18"/>
                <w:szCs w:val="18"/>
              </w:rPr>
            </w:pPr>
            <w:r w:rsidRPr="00DF5AD4">
              <w:rPr>
                <w:rFonts w:ascii="Calibri" w:hAnsi="Calibri"/>
                <w:bCs/>
                <w:sz w:val="18"/>
                <w:szCs w:val="18"/>
              </w:rPr>
              <w:t xml:space="preserve">Az épület homlokzatához illesztett előtető, védőtető, ernyőszerkezet építése, meglévő felújítása, helyreállítása, átalakítása, korszerűsítése, bővítése, megváltoztatása, ha ehhez az épület tartószerkezetét nem </w:t>
            </w:r>
            <w:proofErr w:type="gramStart"/>
            <w:r w:rsidRPr="00DF5AD4">
              <w:rPr>
                <w:rFonts w:ascii="Calibri" w:hAnsi="Calibri"/>
                <w:bCs/>
                <w:sz w:val="18"/>
                <w:szCs w:val="18"/>
              </w:rPr>
              <w:t>kell  megváltoztatni</w:t>
            </w:r>
            <w:proofErr w:type="gramEnd"/>
            <w:r w:rsidRPr="00DF5AD4">
              <w:rPr>
                <w:rFonts w:ascii="Calibri" w:hAnsi="Calibri"/>
                <w:bCs/>
                <w:sz w:val="18"/>
                <w:szCs w:val="18"/>
              </w:rPr>
              <w:t>,  átalakítani,  megbontani,  kicserélni,  megerősíteni vagy  újjáépíteni.</w:t>
            </w:r>
          </w:p>
        </w:tc>
      </w:tr>
      <w:tr w:rsidR="00DF5AD4" w:rsidRPr="00DF5AD4" w:rsidTr="00A1560E">
        <w:trPr>
          <w:cantSplit/>
        </w:trPr>
        <w:tc>
          <w:tcPr>
            <w:tcW w:w="418" w:type="dxa"/>
            <w:hideMark/>
          </w:tcPr>
          <w:p w:rsidR="00DF5AD4" w:rsidRPr="00DF5AD4" w:rsidRDefault="00DF5AD4" w:rsidP="00DF5AD4">
            <w:pPr>
              <w:spacing w:before="60" w:after="20"/>
              <w:ind w:left="79" w:right="-23"/>
              <w:rPr>
                <w:rFonts w:ascii="Calibri" w:hAnsi="Calibri"/>
                <w:sz w:val="18"/>
                <w:szCs w:val="18"/>
              </w:rPr>
            </w:pPr>
            <w:r w:rsidRPr="00DF5AD4">
              <w:rPr>
                <w:rFonts w:ascii="Calibri" w:hAnsi="Calibri"/>
                <w:sz w:val="18"/>
                <w:szCs w:val="18"/>
              </w:rPr>
              <w:t>5.</w:t>
            </w:r>
          </w:p>
        </w:tc>
        <w:tc>
          <w:tcPr>
            <w:tcW w:w="8938" w:type="dxa"/>
            <w:hideMark/>
          </w:tcPr>
          <w:p w:rsidR="00DF5AD4" w:rsidRPr="00DF5AD4" w:rsidRDefault="00DF5AD4" w:rsidP="00DF5AD4">
            <w:pPr>
              <w:ind w:left="79" w:right="127"/>
              <w:jc w:val="both"/>
              <w:rPr>
                <w:rFonts w:ascii="Calibri" w:hAnsi="Calibri"/>
                <w:sz w:val="18"/>
                <w:szCs w:val="18"/>
              </w:rPr>
            </w:pPr>
            <w:r w:rsidRPr="00DF5AD4">
              <w:rPr>
                <w:rFonts w:ascii="Calibri" w:hAnsi="Calibri"/>
                <w:bCs/>
                <w:sz w:val="18"/>
                <w:szCs w:val="18"/>
              </w:rPr>
              <w:t>Kereskedelmi, vendéglátó rendeltetésű épület építése, bővítése, melynek mérete az építési tevékenység után sem haladja meg a nettó 20,0 m2 alapterületet, kivéve műemléki jelentőségű területen a telek közterületi határához legközelebb, de legfeljebb 50 méterre álló új épület építését, vagy meglévő épület építésügyi hatósági engedélyhez kötött bővítését vagy átalakítását.</w:t>
            </w:r>
          </w:p>
        </w:tc>
      </w:tr>
      <w:tr w:rsidR="00DF5AD4" w:rsidRPr="00DF5AD4" w:rsidTr="00A1560E">
        <w:trPr>
          <w:cantSplit/>
        </w:trPr>
        <w:tc>
          <w:tcPr>
            <w:tcW w:w="418" w:type="dxa"/>
            <w:hideMark/>
          </w:tcPr>
          <w:p w:rsidR="00DF5AD4" w:rsidRPr="00DF5AD4" w:rsidRDefault="00DF5AD4" w:rsidP="00DF5AD4">
            <w:pPr>
              <w:spacing w:before="60" w:after="20"/>
              <w:ind w:left="79" w:right="-23"/>
              <w:rPr>
                <w:rFonts w:ascii="Calibri" w:hAnsi="Calibri"/>
                <w:sz w:val="18"/>
                <w:szCs w:val="18"/>
              </w:rPr>
            </w:pPr>
            <w:r w:rsidRPr="00DF5AD4">
              <w:rPr>
                <w:rFonts w:ascii="Calibri" w:hAnsi="Calibri"/>
                <w:sz w:val="18"/>
                <w:szCs w:val="18"/>
              </w:rPr>
              <w:t>6.</w:t>
            </w:r>
          </w:p>
        </w:tc>
        <w:tc>
          <w:tcPr>
            <w:tcW w:w="8938" w:type="dxa"/>
            <w:hideMark/>
          </w:tcPr>
          <w:p w:rsidR="00DF5AD4" w:rsidRPr="00DF5AD4" w:rsidRDefault="00DF5AD4" w:rsidP="00DF5AD4">
            <w:pPr>
              <w:ind w:left="79" w:right="127"/>
              <w:jc w:val="both"/>
              <w:rPr>
                <w:rFonts w:ascii="Calibri" w:hAnsi="Calibri"/>
                <w:bCs/>
                <w:sz w:val="18"/>
                <w:szCs w:val="18"/>
              </w:rPr>
            </w:pPr>
            <w:r w:rsidRPr="00DF5AD4">
              <w:rPr>
                <w:rFonts w:ascii="Calibri" w:hAnsi="Calibri"/>
                <w:bCs/>
                <w:sz w:val="18"/>
                <w:szCs w:val="18"/>
              </w:rPr>
              <w:t>Önálló reklámtartó építmény építése, meglévő felújítása, helyreállítása, átalakítása, korszerűsítése, bővítése, megváltoztatása, melynek mérete az építési tevékenység után sem haladja meg</w:t>
            </w:r>
          </w:p>
          <w:p w:rsidR="00DF5AD4" w:rsidRPr="00DF5AD4" w:rsidRDefault="00DF5AD4" w:rsidP="00DF5AD4">
            <w:pPr>
              <w:ind w:left="79" w:right="127"/>
              <w:jc w:val="both"/>
              <w:rPr>
                <w:rFonts w:ascii="Calibri" w:hAnsi="Calibri"/>
                <w:bCs/>
                <w:sz w:val="18"/>
                <w:szCs w:val="18"/>
              </w:rPr>
            </w:pPr>
            <w:r w:rsidRPr="00DF5AD4">
              <w:rPr>
                <w:rFonts w:ascii="Calibri" w:hAnsi="Calibri"/>
                <w:bCs/>
                <w:sz w:val="18"/>
                <w:szCs w:val="18"/>
              </w:rPr>
              <w:t>a) beépítésre nem szánt területen a 9,0 m magasságot,</w:t>
            </w:r>
          </w:p>
          <w:p w:rsidR="00DF5AD4" w:rsidRPr="00DF5AD4" w:rsidRDefault="00DF5AD4" w:rsidP="00DF5AD4">
            <w:pPr>
              <w:ind w:left="79" w:right="127"/>
              <w:jc w:val="both"/>
              <w:rPr>
                <w:rFonts w:ascii="Calibri" w:hAnsi="Calibri"/>
                <w:sz w:val="18"/>
                <w:szCs w:val="18"/>
              </w:rPr>
            </w:pPr>
            <w:r w:rsidRPr="00DF5AD4">
              <w:rPr>
                <w:rFonts w:ascii="Calibri" w:hAnsi="Calibri"/>
                <w:bCs/>
                <w:sz w:val="18"/>
                <w:szCs w:val="18"/>
              </w:rPr>
              <w:t>b) beépítésre szánt területen a 4,5 m magasságot.</w:t>
            </w:r>
          </w:p>
        </w:tc>
      </w:tr>
      <w:tr w:rsidR="00DF5AD4" w:rsidRPr="00DF5AD4" w:rsidTr="00A1560E">
        <w:trPr>
          <w:cantSplit/>
        </w:trPr>
        <w:tc>
          <w:tcPr>
            <w:tcW w:w="418" w:type="dxa"/>
            <w:hideMark/>
          </w:tcPr>
          <w:p w:rsidR="00DF5AD4" w:rsidRPr="00DF5AD4" w:rsidRDefault="00DF5AD4" w:rsidP="00DF5AD4">
            <w:pPr>
              <w:spacing w:before="60" w:after="20"/>
              <w:ind w:left="79" w:right="-23"/>
              <w:rPr>
                <w:rFonts w:ascii="Calibri" w:hAnsi="Calibri"/>
                <w:sz w:val="18"/>
                <w:szCs w:val="18"/>
              </w:rPr>
            </w:pPr>
            <w:r w:rsidRPr="00DF5AD4">
              <w:rPr>
                <w:rFonts w:ascii="Calibri" w:hAnsi="Calibri"/>
                <w:sz w:val="18"/>
                <w:szCs w:val="18"/>
              </w:rPr>
              <w:t>7.</w:t>
            </w:r>
          </w:p>
        </w:tc>
        <w:tc>
          <w:tcPr>
            <w:tcW w:w="8938" w:type="dxa"/>
            <w:hideMark/>
          </w:tcPr>
          <w:p w:rsidR="00DF5AD4" w:rsidRPr="00DF5AD4" w:rsidRDefault="00DF5AD4" w:rsidP="00DF5AD4">
            <w:pPr>
              <w:ind w:left="79" w:right="127"/>
              <w:jc w:val="both"/>
              <w:rPr>
                <w:rFonts w:ascii="Calibri" w:hAnsi="Calibri"/>
                <w:sz w:val="18"/>
                <w:szCs w:val="18"/>
              </w:rPr>
            </w:pPr>
            <w:r w:rsidRPr="00DF5AD4">
              <w:rPr>
                <w:rFonts w:ascii="Calibri" w:hAnsi="Calibri"/>
                <w:bCs/>
                <w:sz w:val="18"/>
                <w:szCs w:val="18"/>
              </w:rPr>
              <w:t>Szobor, emlékmű, kereszt, emlékjel építése, elhelyezése, ha annak a talapzatával együtt mért magassága nem haladja meg a 6,0 m-t.</w:t>
            </w:r>
          </w:p>
        </w:tc>
      </w:tr>
      <w:tr w:rsidR="00DF5AD4" w:rsidRPr="00DF5AD4" w:rsidTr="00A1560E">
        <w:trPr>
          <w:cantSplit/>
        </w:trPr>
        <w:tc>
          <w:tcPr>
            <w:tcW w:w="418" w:type="dxa"/>
            <w:hideMark/>
          </w:tcPr>
          <w:p w:rsidR="00DF5AD4" w:rsidRPr="00DF5AD4" w:rsidRDefault="00DF5AD4" w:rsidP="00DF5AD4">
            <w:pPr>
              <w:spacing w:before="60" w:after="20"/>
              <w:ind w:left="79" w:right="-23"/>
              <w:rPr>
                <w:rFonts w:ascii="Calibri" w:hAnsi="Calibri"/>
                <w:sz w:val="18"/>
                <w:szCs w:val="18"/>
              </w:rPr>
            </w:pPr>
            <w:r w:rsidRPr="00DF5AD4">
              <w:rPr>
                <w:rFonts w:ascii="Calibri" w:hAnsi="Calibri"/>
                <w:sz w:val="18"/>
                <w:szCs w:val="18"/>
              </w:rPr>
              <w:t>8.</w:t>
            </w:r>
          </w:p>
        </w:tc>
        <w:tc>
          <w:tcPr>
            <w:tcW w:w="8938" w:type="dxa"/>
            <w:hideMark/>
          </w:tcPr>
          <w:p w:rsidR="00DF5AD4" w:rsidRPr="00DF5AD4" w:rsidRDefault="00DF5AD4" w:rsidP="00DF5AD4">
            <w:pPr>
              <w:ind w:left="79" w:right="127"/>
              <w:jc w:val="both"/>
              <w:rPr>
                <w:rFonts w:ascii="Calibri" w:hAnsi="Calibri"/>
                <w:sz w:val="18"/>
                <w:szCs w:val="18"/>
              </w:rPr>
            </w:pPr>
            <w:r w:rsidRPr="00DF5AD4">
              <w:rPr>
                <w:rFonts w:ascii="Calibri" w:hAnsi="Calibri"/>
                <w:bCs/>
                <w:sz w:val="18"/>
                <w:szCs w:val="18"/>
              </w:rPr>
              <w:t>Emlékfal építése, melynek talapzatával együtt mért magassága nem haladja meg a 3,0 m-t.</w:t>
            </w:r>
          </w:p>
        </w:tc>
      </w:tr>
      <w:tr w:rsidR="00DF5AD4" w:rsidRPr="00DF5AD4" w:rsidTr="00A1560E">
        <w:trPr>
          <w:cantSplit/>
        </w:trPr>
        <w:tc>
          <w:tcPr>
            <w:tcW w:w="418" w:type="dxa"/>
            <w:hideMark/>
          </w:tcPr>
          <w:p w:rsidR="00DF5AD4" w:rsidRPr="00DF5AD4" w:rsidRDefault="00DF5AD4" w:rsidP="00DF5AD4">
            <w:pPr>
              <w:spacing w:before="60" w:after="20"/>
              <w:ind w:left="79" w:right="-23"/>
              <w:rPr>
                <w:rFonts w:ascii="Calibri" w:hAnsi="Calibri"/>
                <w:sz w:val="18"/>
                <w:szCs w:val="18"/>
              </w:rPr>
            </w:pPr>
            <w:r w:rsidRPr="00DF5AD4">
              <w:rPr>
                <w:rFonts w:ascii="Calibri" w:hAnsi="Calibri"/>
                <w:sz w:val="18"/>
                <w:szCs w:val="18"/>
              </w:rPr>
              <w:t>9.</w:t>
            </w:r>
          </w:p>
        </w:tc>
        <w:tc>
          <w:tcPr>
            <w:tcW w:w="8938" w:type="dxa"/>
            <w:hideMark/>
          </w:tcPr>
          <w:p w:rsidR="00DF5AD4" w:rsidRPr="00DF5AD4" w:rsidRDefault="00DF5AD4" w:rsidP="00DF5AD4">
            <w:pPr>
              <w:ind w:left="79" w:right="127"/>
              <w:jc w:val="both"/>
              <w:rPr>
                <w:rFonts w:ascii="Calibri" w:hAnsi="Calibri"/>
                <w:sz w:val="18"/>
                <w:szCs w:val="18"/>
              </w:rPr>
            </w:pPr>
            <w:r w:rsidRPr="00DF5AD4">
              <w:rPr>
                <w:rFonts w:ascii="Calibri" w:hAnsi="Calibri"/>
                <w:bCs/>
                <w:sz w:val="18"/>
                <w:szCs w:val="18"/>
              </w:rPr>
              <w:t xml:space="preserve">Kerítés építése, átalakítása, bővítése. </w:t>
            </w:r>
            <w:proofErr w:type="gramStart"/>
            <w:r w:rsidRPr="00DF5AD4">
              <w:rPr>
                <w:rFonts w:ascii="Calibri" w:hAnsi="Calibri"/>
                <w:bCs/>
                <w:sz w:val="18"/>
                <w:szCs w:val="18"/>
              </w:rPr>
              <w:t>( ha</w:t>
            </w:r>
            <w:proofErr w:type="gramEnd"/>
            <w:r w:rsidRPr="00DF5AD4">
              <w:rPr>
                <w:rFonts w:ascii="Calibri" w:hAnsi="Calibri"/>
                <w:bCs/>
                <w:sz w:val="18"/>
                <w:szCs w:val="18"/>
              </w:rPr>
              <w:t xml:space="preserve"> az közterületre, vagy közhasználat elől el nem zárt magánterületre néz)</w:t>
            </w:r>
          </w:p>
        </w:tc>
      </w:tr>
      <w:tr w:rsidR="00DF5AD4" w:rsidRPr="00DF5AD4" w:rsidTr="00A1560E">
        <w:trPr>
          <w:cantSplit/>
        </w:trPr>
        <w:tc>
          <w:tcPr>
            <w:tcW w:w="418" w:type="dxa"/>
            <w:hideMark/>
          </w:tcPr>
          <w:p w:rsidR="00DF5AD4" w:rsidRPr="00DF5AD4" w:rsidRDefault="00DF5AD4" w:rsidP="00DF5AD4">
            <w:pPr>
              <w:spacing w:before="60" w:after="20"/>
              <w:ind w:left="79" w:right="-23"/>
              <w:rPr>
                <w:rFonts w:ascii="Calibri" w:hAnsi="Calibri"/>
                <w:sz w:val="18"/>
                <w:szCs w:val="18"/>
              </w:rPr>
            </w:pPr>
            <w:r w:rsidRPr="00DF5AD4">
              <w:rPr>
                <w:rFonts w:ascii="Calibri" w:hAnsi="Calibri"/>
                <w:sz w:val="18"/>
                <w:szCs w:val="18"/>
              </w:rPr>
              <w:t>10.</w:t>
            </w:r>
          </w:p>
        </w:tc>
        <w:tc>
          <w:tcPr>
            <w:tcW w:w="8938" w:type="dxa"/>
            <w:hideMark/>
          </w:tcPr>
          <w:p w:rsidR="00DF5AD4" w:rsidRPr="00DF5AD4" w:rsidRDefault="00DF5AD4" w:rsidP="00DF5AD4">
            <w:pPr>
              <w:ind w:left="79" w:right="127"/>
              <w:jc w:val="both"/>
              <w:rPr>
                <w:rFonts w:ascii="Calibri" w:hAnsi="Calibri"/>
                <w:sz w:val="18"/>
                <w:szCs w:val="18"/>
              </w:rPr>
            </w:pPr>
            <w:r w:rsidRPr="00DF5AD4">
              <w:rPr>
                <w:rFonts w:ascii="Calibri" w:hAnsi="Calibri"/>
                <w:bCs/>
                <w:sz w:val="18"/>
                <w:szCs w:val="18"/>
              </w:rPr>
              <w:t>Szellőző-, klíma-, áru- és pénzautomata építményen vagy építményben való elhelyezése, ha ahhoz nem kell az építmény tartószerkezeti rendszerét vagy tartószerkezeti elemeit megváltoztatni, átalakítani, elbontani, kicserélni, megerősíteni vagy újjáépíteni.</w:t>
            </w:r>
          </w:p>
        </w:tc>
      </w:tr>
      <w:tr w:rsidR="00DF5AD4" w:rsidRPr="00DF5AD4" w:rsidTr="00A1560E">
        <w:trPr>
          <w:cantSplit/>
        </w:trPr>
        <w:tc>
          <w:tcPr>
            <w:tcW w:w="418" w:type="dxa"/>
            <w:hideMark/>
          </w:tcPr>
          <w:p w:rsidR="00DF5AD4" w:rsidRPr="00DF5AD4" w:rsidRDefault="00DF5AD4" w:rsidP="00DF5AD4">
            <w:pPr>
              <w:spacing w:before="60" w:after="20"/>
              <w:ind w:left="79" w:right="-23"/>
              <w:rPr>
                <w:rFonts w:ascii="Calibri" w:hAnsi="Calibri"/>
                <w:sz w:val="18"/>
                <w:szCs w:val="18"/>
              </w:rPr>
            </w:pPr>
            <w:r w:rsidRPr="00DF5AD4">
              <w:rPr>
                <w:rFonts w:ascii="Calibri" w:hAnsi="Calibri"/>
                <w:sz w:val="18"/>
                <w:szCs w:val="18"/>
              </w:rPr>
              <w:t>11.</w:t>
            </w:r>
          </w:p>
        </w:tc>
        <w:tc>
          <w:tcPr>
            <w:tcW w:w="8938" w:type="dxa"/>
            <w:hideMark/>
          </w:tcPr>
          <w:p w:rsidR="00DF5AD4" w:rsidRPr="00DF5AD4" w:rsidRDefault="00DF5AD4" w:rsidP="00DF5AD4">
            <w:pPr>
              <w:spacing w:before="60" w:after="20"/>
              <w:ind w:left="79" w:right="127"/>
              <w:rPr>
                <w:rFonts w:ascii="Calibri" w:hAnsi="Calibri"/>
                <w:sz w:val="18"/>
                <w:szCs w:val="18"/>
              </w:rPr>
            </w:pPr>
            <w:r w:rsidRPr="00DF5AD4">
              <w:rPr>
                <w:rFonts w:ascii="Calibri" w:hAnsi="Calibri"/>
                <w:bCs/>
                <w:sz w:val="18"/>
                <w:szCs w:val="18"/>
              </w:rPr>
              <w:t>Építménynek minősülő szelektív és háztartási célú hulladékgyűjtő, és tároló elhelyezése</w:t>
            </w:r>
          </w:p>
        </w:tc>
      </w:tr>
      <w:tr w:rsidR="00DF5AD4" w:rsidRPr="00DF5AD4" w:rsidTr="00A1560E">
        <w:trPr>
          <w:cantSplit/>
        </w:trPr>
        <w:tc>
          <w:tcPr>
            <w:tcW w:w="418" w:type="dxa"/>
            <w:hideMark/>
          </w:tcPr>
          <w:p w:rsidR="00DF5AD4" w:rsidRPr="00DF5AD4" w:rsidRDefault="00DF5AD4" w:rsidP="00DF5AD4">
            <w:pPr>
              <w:spacing w:before="60" w:after="20"/>
              <w:ind w:left="79" w:right="-23"/>
              <w:rPr>
                <w:rFonts w:ascii="Calibri" w:hAnsi="Calibri"/>
                <w:sz w:val="18"/>
                <w:szCs w:val="18"/>
              </w:rPr>
            </w:pPr>
            <w:r w:rsidRPr="00DF5AD4">
              <w:rPr>
                <w:rFonts w:ascii="Calibri" w:hAnsi="Calibri"/>
                <w:sz w:val="18"/>
                <w:szCs w:val="18"/>
              </w:rPr>
              <w:t>12.</w:t>
            </w:r>
          </w:p>
        </w:tc>
        <w:tc>
          <w:tcPr>
            <w:tcW w:w="8938" w:type="dxa"/>
            <w:hideMark/>
          </w:tcPr>
          <w:p w:rsidR="00DF5AD4" w:rsidRPr="00DF5AD4" w:rsidRDefault="00DF5AD4" w:rsidP="00DF5AD4">
            <w:pPr>
              <w:ind w:left="79" w:right="127"/>
              <w:jc w:val="both"/>
              <w:rPr>
                <w:rFonts w:ascii="Calibri" w:hAnsi="Calibri"/>
                <w:sz w:val="18"/>
                <w:szCs w:val="18"/>
              </w:rPr>
            </w:pPr>
            <w:proofErr w:type="spellStart"/>
            <w:r w:rsidRPr="00DF5AD4">
              <w:rPr>
                <w:rFonts w:ascii="Calibri" w:hAnsi="Calibri"/>
                <w:bCs/>
                <w:sz w:val="18"/>
                <w:szCs w:val="18"/>
              </w:rPr>
              <w:t>Utasváró</w:t>
            </w:r>
            <w:proofErr w:type="spellEnd"/>
            <w:r w:rsidRPr="00DF5AD4">
              <w:rPr>
                <w:rFonts w:ascii="Calibri" w:hAnsi="Calibri"/>
                <w:bCs/>
                <w:sz w:val="18"/>
                <w:szCs w:val="18"/>
              </w:rPr>
              <w:t xml:space="preserve"> fülke építése.</w:t>
            </w:r>
          </w:p>
        </w:tc>
      </w:tr>
      <w:tr w:rsidR="00DF5AD4" w:rsidRPr="00DF5AD4" w:rsidTr="00A1560E">
        <w:trPr>
          <w:cantSplit/>
        </w:trPr>
        <w:tc>
          <w:tcPr>
            <w:tcW w:w="418" w:type="dxa"/>
            <w:hideMark/>
          </w:tcPr>
          <w:p w:rsidR="00DF5AD4" w:rsidRPr="00DF5AD4" w:rsidRDefault="00DF5AD4" w:rsidP="00DF5AD4">
            <w:pPr>
              <w:spacing w:before="60" w:after="20"/>
              <w:ind w:left="79" w:right="-23"/>
              <w:rPr>
                <w:rFonts w:ascii="Calibri" w:hAnsi="Calibri"/>
                <w:sz w:val="18"/>
                <w:szCs w:val="18"/>
              </w:rPr>
            </w:pPr>
            <w:r w:rsidRPr="00DF5AD4">
              <w:rPr>
                <w:rFonts w:ascii="Calibri" w:hAnsi="Calibri"/>
                <w:sz w:val="18"/>
                <w:szCs w:val="18"/>
              </w:rPr>
              <w:t>13.</w:t>
            </w:r>
          </w:p>
        </w:tc>
        <w:tc>
          <w:tcPr>
            <w:tcW w:w="8938" w:type="dxa"/>
            <w:hideMark/>
          </w:tcPr>
          <w:p w:rsidR="00DF5AD4" w:rsidRPr="00DF5AD4" w:rsidRDefault="00DF5AD4" w:rsidP="00DF5AD4">
            <w:pPr>
              <w:ind w:left="79" w:right="127"/>
              <w:jc w:val="both"/>
              <w:rPr>
                <w:rFonts w:ascii="Calibri" w:hAnsi="Calibri"/>
                <w:sz w:val="18"/>
                <w:szCs w:val="18"/>
              </w:rPr>
            </w:pPr>
            <w:r w:rsidRPr="00DF5AD4">
              <w:rPr>
                <w:rFonts w:ascii="Calibri" w:hAnsi="Calibri"/>
                <w:bCs/>
                <w:sz w:val="18"/>
                <w:szCs w:val="18"/>
              </w:rPr>
              <w:t xml:space="preserve">Elektronikus hírközlési építmény, az antennatartó szerkezet méretétől függetlenül a szerkezetre antenna felszerelése, ha az antenna </w:t>
            </w:r>
            <w:proofErr w:type="gramStart"/>
            <w:r w:rsidRPr="00DF5AD4">
              <w:rPr>
                <w:rFonts w:ascii="Calibri" w:hAnsi="Calibri"/>
                <w:bCs/>
                <w:sz w:val="18"/>
                <w:szCs w:val="18"/>
              </w:rPr>
              <w:t>bármely irányú</w:t>
            </w:r>
            <w:proofErr w:type="gramEnd"/>
            <w:r w:rsidRPr="00DF5AD4">
              <w:rPr>
                <w:rFonts w:ascii="Calibri" w:hAnsi="Calibri"/>
                <w:bCs/>
                <w:sz w:val="18"/>
                <w:szCs w:val="18"/>
              </w:rPr>
              <w:t xml:space="preserve"> mérete a 4,0 m-t nem haladja meg</w:t>
            </w:r>
          </w:p>
        </w:tc>
      </w:tr>
      <w:tr w:rsidR="00DF5AD4" w:rsidRPr="00DF5AD4" w:rsidTr="00A1560E">
        <w:tc>
          <w:tcPr>
            <w:tcW w:w="418" w:type="dxa"/>
            <w:hideMark/>
          </w:tcPr>
          <w:p w:rsidR="00DF5AD4" w:rsidRPr="00DF5AD4" w:rsidRDefault="00DF5AD4" w:rsidP="00DF5AD4">
            <w:pPr>
              <w:spacing w:before="60" w:after="20"/>
              <w:ind w:left="79" w:right="-23"/>
              <w:rPr>
                <w:rFonts w:ascii="Calibri" w:hAnsi="Calibri"/>
                <w:sz w:val="18"/>
                <w:szCs w:val="18"/>
              </w:rPr>
            </w:pPr>
            <w:r w:rsidRPr="00DF5AD4">
              <w:rPr>
                <w:rFonts w:ascii="Calibri" w:hAnsi="Calibri"/>
                <w:sz w:val="18"/>
                <w:szCs w:val="18"/>
              </w:rPr>
              <w:t>14.</w:t>
            </w:r>
          </w:p>
        </w:tc>
        <w:tc>
          <w:tcPr>
            <w:tcW w:w="8938" w:type="dxa"/>
            <w:hideMark/>
          </w:tcPr>
          <w:p w:rsidR="00DF5AD4" w:rsidRPr="00DF5AD4" w:rsidRDefault="00DF5AD4" w:rsidP="00DF5AD4">
            <w:pPr>
              <w:ind w:left="79" w:right="127"/>
              <w:jc w:val="both"/>
              <w:rPr>
                <w:rFonts w:ascii="Calibri" w:hAnsi="Calibri"/>
                <w:bCs/>
                <w:sz w:val="18"/>
                <w:szCs w:val="18"/>
              </w:rPr>
            </w:pPr>
            <w:r w:rsidRPr="00DF5AD4">
              <w:rPr>
                <w:rFonts w:ascii="Calibri" w:hAnsi="Calibri"/>
                <w:bCs/>
                <w:sz w:val="18"/>
                <w:szCs w:val="18"/>
              </w:rPr>
              <w:t>Településképi szempontból jelentős reklám berendezés elhelyezése, a rendelet 3.§ (2) bekezdésében meghatározott körben.</w:t>
            </w:r>
          </w:p>
        </w:tc>
      </w:tr>
      <w:tr w:rsidR="00DF5AD4" w:rsidRPr="00DF5AD4" w:rsidTr="00A1560E">
        <w:tc>
          <w:tcPr>
            <w:tcW w:w="418" w:type="dxa"/>
            <w:hideMark/>
          </w:tcPr>
          <w:p w:rsidR="00DF5AD4" w:rsidRPr="00DF5AD4" w:rsidRDefault="00DF5AD4" w:rsidP="00DF5AD4">
            <w:pPr>
              <w:spacing w:before="60" w:after="20"/>
              <w:ind w:left="79" w:right="-23"/>
              <w:rPr>
                <w:rFonts w:ascii="Calibri" w:hAnsi="Calibri"/>
                <w:sz w:val="18"/>
                <w:szCs w:val="18"/>
              </w:rPr>
            </w:pPr>
            <w:r w:rsidRPr="00DF5AD4">
              <w:rPr>
                <w:rFonts w:ascii="Calibri" w:hAnsi="Calibri"/>
                <w:sz w:val="18"/>
                <w:szCs w:val="18"/>
              </w:rPr>
              <w:t>15.</w:t>
            </w:r>
          </w:p>
        </w:tc>
        <w:tc>
          <w:tcPr>
            <w:tcW w:w="8938" w:type="dxa"/>
            <w:hideMark/>
          </w:tcPr>
          <w:p w:rsidR="00DF5AD4" w:rsidRPr="00DF5AD4" w:rsidRDefault="00DF5AD4" w:rsidP="00DF5AD4">
            <w:pPr>
              <w:ind w:left="79" w:right="127"/>
              <w:jc w:val="both"/>
              <w:rPr>
                <w:rFonts w:ascii="Calibri" w:hAnsi="Calibri"/>
                <w:bCs/>
                <w:sz w:val="18"/>
                <w:szCs w:val="18"/>
              </w:rPr>
            </w:pPr>
            <w:proofErr w:type="spellStart"/>
            <w:r w:rsidRPr="00DF5AD4">
              <w:rPr>
                <w:rFonts w:ascii="Calibri" w:hAnsi="Calibri"/>
                <w:bCs/>
                <w:sz w:val="18"/>
                <w:szCs w:val="18"/>
              </w:rPr>
              <w:t>Vendéglátóipari</w:t>
            </w:r>
            <w:proofErr w:type="spellEnd"/>
            <w:r w:rsidRPr="00DF5AD4">
              <w:rPr>
                <w:rFonts w:ascii="Calibri" w:hAnsi="Calibri"/>
                <w:bCs/>
                <w:sz w:val="18"/>
                <w:szCs w:val="18"/>
              </w:rPr>
              <w:t xml:space="preserve"> kitelepülés, vendéglátó terasz, kerthelyiség építményeinek, építmény részeinek építése, vagy kihelyezése. </w:t>
            </w:r>
          </w:p>
        </w:tc>
      </w:tr>
    </w:tbl>
    <w:p w:rsidR="00DF5AD4" w:rsidRPr="00DF5AD4" w:rsidRDefault="00DF5AD4" w:rsidP="00DF5AD4">
      <w:pPr>
        <w:ind w:left="426"/>
        <w:contextualSpacing/>
        <w:jc w:val="both"/>
        <w:rPr>
          <w:rFonts w:ascii="Calibri" w:eastAsia="Calibri" w:hAnsi="Calibri"/>
          <w:sz w:val="22"/>
          <w:szCs w:val="22"/>
          <w:lang w:eastAsia="en-US"/>
        </w:rPr>
      </w:pPr>
    </w:p>
    <w:p w:rsidR="00DF5AD4" w:rsidRPr="00DF5AD4" w:rsidRDefault="00DF5AD4" w:rsidP="00DF5AD4">
      <w:pPr>
        <w:ind w:left="284" w:hanging="284"/>
        <w:contextualSpacing/>
        <w:jc w:val="both"/>
        <w:rPr>
          <w:rFonts w:ascii="Calibri" w:eastAsia="Calibri" w:hAnsi="Calibri"/>
          <w:sz w:val="18"/>
          <w:szCs w:val="18"/>
          <w:lang w:eastAsia="en-US"/>
        </w:rPr>
      </w:pPr>
      <w:r w:rsidRPr="00DF5AD4">
        <w:rPr>
          <w:rFonts w:ascii="Calibri" w:eastAsia="Calibri" w:hAnsi="Calibri"/>
          <w:sz w:val="18"/>
          <w:szCs w:val="18"/>
        </w:rPr>
        <w:t xml:space="preserve">*: </w:t>
      </w:r>
      <w:r w:rsidRPr="00DF5AD4">
        <w:rPr>
          <w:rFonts w:ascii="Calibri" w:eastAsia="Calibri" w:hAnsi="Calibri"/>
          <w:sz w:val="18"/>
          <w:szCs w:val="18"/>
        </w:rPr>
        <w:tab/>
        <w:t xml:space="preserve">Az 1-13. számú sorok az építésügyi és építésfelügyeleti hatósági eljárásokról és ellenőrzésekről, valamint az építésügyi hatósági szolgáltatásról szóló </w:t>
      </w:r>
      <w:r w:rsidRPr="00DF5AD4">
        <w:rPr>
          <w:rFonts w:ascii="Calibri" w:eastAsia="Calibri" w:hAnsi="Calibri"/>
          <w:sz w:val="18"/>
          <w:szCs w:val="18"/>
          <w:lang w:eastAsia="en-US"/>
        </w:rPr>
        <w:t>312/2012. (XI. 8.) Korm. rendelet 1. számú melléklete 1</w:t>
      </w:r>
      <w:proofErr w:type="gramStart"/>
      <w:r w:rsidRPr="00DF5AD4">
        <w:rPr>
          <w:rFonts w:ascii="Calibri" w:eastAsia="Calibri" w:hAnsi="Calibri"/>
          <w:sz w:val="18"/>
          <w:szCs w:val="18"/>
          <w:lang w:eastAsia="en-US"/>
        </w:rPr>
        <w:t>.,</w:t>
      </w:r>
      <w:proofErr w:type="gramEnd"/>
      <w:r w:rsidRPr="00DF5AD4">
        <w:rPr>
          <w:rFonts w:ascii="Calibri" w:eastAsia="Calibri" w:hAnsi="Calibri"/>
          <w:sz w:val="18"/>
          <w:szCs w:val="18"/>
          <w:lang w:eastAsia="en-US"/>
        </w:rPr>
        <w:t xml:space="preserve"> 2., </w:t>
      </w:r>
      <w:r w:rsidRPr="00DF5AD4">
        <w:rPr>
          <w:rFonts w:ascii="Calibri" w:hAnsi="Calibri"/>
          <w:bCs/>
          <w:sz w:val="18"/>
          <w:szCs w:val="18"/>
        </w:rPr>
        <w:t>4.,</w:t>
      </w:r>
      <w:r w:rsidRPr="00DF5AD4">
        <w:rPr>
          <w:rFonts w:ascii="Calibri" w:eastAsia="Calibri" w:hAnsi="Calibri"/>
          <w:sz w:val="18"/>
          <w:szCs w:val="18"/>
          <w:lang w:eastAsia="en-US"/>
        </w:rPr>
        <w:t xml:space="preserve"> 5., 7., 9., 11., 12., 21., 23., 24., 27., 31. pontjai alatti, nem építési engedély köteles építési munkák.</w:t>
      </w:r>
    </w:p>
    <w:p w:rsidR="00DF5AD4" w:rsidRPr="00DF5AD4" w:rsidRDefault="00DF5AD4" w:rsidP="00DF5AD4">
      <w:pPr>
        <w:ind w:left="284"/>
        <w:contextualSpacing/>
        <w:jc w:val="both"/>
        <w:rPr>
          <w:rFonts w:ascii="Calibri" w:eastAsia="Calibri" w:hAnsi="Calibri"/>
          <w:sz w:val="18"/>
          <w:szCs w:val="18"/>
          <w:lang w:eastAsia="en-US"/>
        </w:rPr>
      </w:pPr>
      <w:r w:rsidRPr="00DF5AD4">
        <w:rPr>
          <w:rFonts w:ascii="Calibri" w:eastAsia="Calibri" w:hAnsi="Calibri"/>
          <w:sz w:val="18"/>
          <w:szCs w:val="18"/>
          <w:lang w:eastAsia="en-US"/>
        </w:rPr>
        <w:t>A 14</w:t>
      </w:r>
      <w:proofErr w:type="gramStart"/>
      <w:r w:rsidRPr="00DF5AD4">
        <w:rPr>
          <w:rFonts w:ascii="Calibri" w:eastAsia="Calibri" w:hAnsi="Calibri"/>
          <w:sz w:val="18"/>
          <w:szCs w:val="18"/>
          <w:lang w:eastAsia="en-US"/>
        </w:rPr>
        <w:t>.,</w:t>
      </w:r>
      <w:proofErr w:type="gramEnd"/>
      <w:r w:rsidRPr="00DF5AD4">
        <w:rPr>
          <w:rFonts w:ascii="Calibri" w:eastAsia="Calibri" w:hAnsi="Calibri"/>
          <w:sz w:val="18"/>
          <w:szCs w:val="18"/>
          <w:lang w:eastAsia="en-US"/>
        </w:rPr>
        <w:t xml:space="preserve"> 15. számú sorok az e rendelet  alkalmazása szempontjából jelentős egyéb, </w:t>
      </w:r>
      <w:r w:rsidRPr="00DF5AD4">
        <w:rPr>
          <w:rFonts w:ascii="Calibri" w:eastAsia="Calibri" w:hAnsi="Calibri"/>
          <w:sz w:val="18"/>
          <w:szCs w:val="18"/>
        </w:rPr>
        <w:t xml:space="preserve"> </w:t>
      </w:r>
      <w:r w:rsidRPr="00DF5AD4">
        <w:rPr>
          <w:rFonts w:ascii="Calibri" w:eastAsia="Calibri" w:hAnsi="Calibri"/>
          <w:sz w:val="18"/>
          <w:szCs w:val="18"/>
          <w:lang w:eastAsia="en-US"/>
        </w:rPr>
        <w:t>nem építési engedély köteles építési tevékenységek körét foglalja magába.</w:t>
      </w:r>
    </w:p>
    <w:p w:rsidR="00DF5AD4" w:rsidRPr="00DF5AD4" w:rsidRDefault="00DF5AD4" w:rsidP="00DF5AD4">
      <w:pPr>
        <w:jc w:val="both"/>
        <w:rPr>
          <w:rFonts w:ascii="Calibri" w:hAnsi="Calibri"/>
          <w:b/>
          <w:i/>
          <w:iCs/>
          <w:color w:val="000000"/>
        </w:rPr>
      </w:pPr>
    </w:p>
    <w:p w:rsidR="00DF5AD4" w:rsidRPr="00DF5AD4" w:rsidRDefault="00DF5AD4" w:rsidP="00DF5AD4">
      <w:pPr>
        <w:jc w:val="both"/>
        <w:rPr>
          <w:rFonts w:ascii="Calibri" w:hAnsi="Calibri" w:cs="Arial"/>
          <w:sz w:val="22"/>
          <w:szCs w:val="22"/>
        </w:rPr>
      </w:pPr>
    </w:p>
    <w:p w:rsidR="00E86D6B" w:rsidRDefault="00DF5AD4">
      <w:bookmarkStart w:id="0" w:name="_GoBack"/>
      <w:bookmarkEnd w:id="0"/>
    </w:p>
    <w:sectPr w:rsidR="00E86D6B" w:rsidSect="00BB4168">
      <w:footerReference w:type="even" r:id="rId5"/>
      <w:footerReference w:type="default" r:id="rId6"/>
      <w:pgSz w:w="11906" w:h="16838"/>
      <w:pgMar w:top="851" w:right="849" w:bottom="993" w:left="709" w:header="709" w:footer="709"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169" w:rsidRDefault="00DF5AD4" w:rsidP="00043C39">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3F2169" w:rsidRDefault="00DF5AD4" w:rsidP="00043C39">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169" w:rsidRDefault="00DF5AD4" w:rsidP="00043C39">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5</w:t>
    </w:r>
    <w:r>
      <w:rPr>
        <w:rStyle w:val="Oldalszm"/>
      </w:rPr>
      <w:fldChar w:fldCharType="end"/>
    </w:r>
  </w:p>
  <w:p w:rsidR="003F2169" w:rsidRDefault="00DF5AD4" w:rsidP="00043C39">
    <w:pPr>
      <w:pStyle w:val="llb"/>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C66"/>
    <w:rsid w:val="00117C66"/>
    <w:rsid w:val="00123BB5"/>
    <w:rsid w:val="001F7757"/>
    <w:rsid w:val="00312EFC"/>
    <w:rsid w:val="00393A2B"/>
    <w:rsid w:val="003D6775"/>
    <w:rsid w:val="003F7E39"/>
    <w:rsid w:val="006478BB"/>
    <w:rsid w:val="006C0805"/>
    <w:rsid w:val="00742421"/>
    <w:rsid w:val="008977DC"/>
    <w:rsid w:val="00973851"/>
    <w:rsid w:val="00B7791B"/>
    <w:rsid w:val="00C63C07"/>
    <w:rsid w:val="00C73197"/>
    <w:rsid w:val="00C83904"/>
    <w:rsid w:val="00D3266F"/>
    <w:rsid w:val="00DF5AD4"/>
    <w:rsid w:val="00FB414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szCs w:val="24"/>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Pr>
      <w:rFonts w:ascii="Times New Roman" w:hAnsi="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rsid w:val="00DF5AD4"/>
    <w:pPr>
      <w:tabs>
        <w:tab w:val="center" w:pos="4536"/>
        <w:tab w:val="right" w:pos="9072"/>
      </w:tabs>
    </w:pPr>
    <w:rPr>
      <w:lang w:val="x-none"/>
    </w:rPr>
  </w:style>
  <w:style w:type="character" w:customStyle="1" w:styleId="llbChar">
    <w:name w:val="Élőláb Char"/>
    <w:basedOn w:val="Bekezdsalapbettpusa"/>
    <w:link w:val="llb"/>
    <w:rsid w:val="00DF5AD4"/>
    <w:rPr>
      <w:rFonts w:ascii="Times New Roman" w:hAnsi="Times New Roman"/>
      <w:sz w:val="20"/>
      <w:szCs w:val="20"/>
      <w:lang w:val="x-none" w:eastAsia="hu-HU"/>
    </w:rPr>
  </w:style>
  <w:style w:type="character" w:styleId="Oldalszm">
    <w:name w:val="page number"/>
    <w:basedOn w:val="Bekezdsalapbettpusa"/>
    <w:rsid w:val="00DF5A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szCs w:val="24"/>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Pr>
      <w:rFonts w:ascii="Times New Roman" w:hAnsi="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rsid w:val="00DF5AD4"/>
    <w:pPr>
      <w:tabs>
        <w:tab w:val="center" w:pos="4536"/>
        <w:tab w:val="right" w:pos="9072"/>
      </w:tabs>
    </w:pPr>
    <w:rPr>
      <w:lang w:val="x-none"/>
    </w:rPr>
  </w:style>
  <w:style w:type="character" w:customStyle="1" w:styleId="llbChar">
    <w:name w:val="Élőláb Char"/>
    <w:basedOn w:val="Bekezdsalapbettpusa"/>
    <w:link w:val="llb"/>
    <w:rsid w:val="00DF5AD4"/>
    <w:rPr>
      <w:rFonts w:ascii="Times New Roman" w:hAnsi="Times New Roman"/>
      <w:sz w:val="20"/>
      <w:szCs w:val="20"/>
      <w:lang w:val="x-none" w:eastAsia="hu-HU"/>
    </w:rPr>
  </w:style>
  <w:style w:type="character" w:styleId="Oldalszm">
    <w:name w:val="page number"/>
    <w:basedOn w:val="Bekezdsalapbettpusa"/>
    <w:rsid w:val="00DF5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3173</Characters>
  <Application>Microsoft Office Word</Application>
  <DocSecurity>0</DocSecurity>
  <Lines>26</Lines>
  <Paragraphs>7</Paragraphs>
  <ScaleCrop>false</ScaleCrop>
  <Company>SZFVAR MJV PMHIV</Company>
  <LinksUpToDate>false</LinksUpToDate>
  <CharactersWithSpaces>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Katalin Farkas</dc:creator>
  <cp:keywords/>
  <dc:description/>
  <cp:lastModifiedBy>Katalin Farkas</cp:lastModifiedBy>
  <cp:revision>2</cp:revision>
  <dcterms:created xsi:type="dcterms:W3CDTF">2016-02-25T12:37:00Z</dcterms:created>
  <dcterms:modified xsi:type="dcterms:W3CDTF">2016-02-25T12:37:00Z</dcterms:modified>
</cp:coreProperties>
</file>