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25" w:rsidRDefault="004F45C8" w:rsidP="004B4625">
      <w:pPr>
        <w:ind w:left="0" w:right="-2"/>
        <w:jc w:val="right"/>
        <w:rPr>
          <w:b/>
          <w:szCs w:val="24"/>
        </w:rPr>
      </w:pPr>
      <w:r>
        <w:rPr>
          <w:b/>
          <w:szCs w:val="24"/>
        </w:rPr>
        <w:t>3</w:t>
      </w:r>
      <w:r w:rsidR="004B4625">
        <w:rPr>
          <w:b/>
          <w:szCs w:val="24"/>
        </w:rPr>
        <w:t>. sz. melléklet</w:t>
      </w:r>
    </w:p>
    <w:p w:rsidR="002B3973" w:rsidRPr="00506DA0" w:rsidRDefault="002B3973" w:rsidP="0057123D">
      <w:pPr>
        <w:ind w:left="0" w:right="-2"/>
        <w:jc w:val="center"/>
        <w:rPr>
          <w:b/>
          <w:szCs w:val="24"/>
        </w:rPr>
      </w:pPr>
      <w:r w:rsidRPr="00506DA0">
        <w:rPr>
          <w:b/>
          <w:szCs w:val="24"/>
        </w:rPr>
        <w:t>Indokolás</w:t>
      </w:r>
    </w:p>
    <w:p w:rsidR="002B3973" w:rsidRPr="00506DA0" w:rsidRDefault="002B3973" w:rsidP="0057123D">
      <w:pPr>
        <w:ind w:left="0" w:right="-2"/>
        <w:rPr>
          <w:szCs w:val="24"/>
        </w:rPr>
      </w:pPr>
    </w:p>
    <w:p w:rsidR="009D05EE" w:rsidRDefault="002B3973" w:rsidP="009D05EE">
      <w:pPr>
        <w:pStyle w:val="Cmsor1"/>
        <w:tabs>
          <w:tab w:val="left" w:pos="708"/>
        </w:tabs>
        <w:rPr>
          <w:color w:val="000000"/>
          <w:sz w:val="24"/>
          <w:szCs w:val="24"/>
        </w:rPr>
      </w:pPr>
      <w:r w:rsidRPr="004F561F">
        <w:rPr>
          <w:sz w:val="24"/>
          <w:szCs w:val="24"/>
        </w:rPr>
        <w:t>Dunakeszi Város Önkormányza</w:t>
      </w:r>
      <w:r w:rsidR="004F45C8">
        <w:rPr>
          <w:sz w:val="24"/>
          <w:szCs w:val="24"/>
        </w:rPr>
        <w:t xml:space="preserve">ta Képviselő-testületének </w:t>
      </w:r>
      <w:r w:rsidR="00822B93">
        <w:rPr>
          <w:sz w:val="24"/>
          <w:szCs w:val="24"/>
        </w:rPr>
        <w:t>46</w:t>
      </w:r>
      <w:r w:rsidR="004F45C8">
        <w:rPr>
          <w:sz w:val="24"/>
          <w:szCs w:val="24"/>
        </w:rPr>
        <w:t>/2020</w:t>
      </w:r>
      <w:r w:rsidRPr="004F561F">
        <w:rPr>
          <w:sz w:val="24"/>
          <w:szCs w:val="24"/>
        </w:rPr>
        <w:t>. (</w:t>
      </w:r>
      <w:r w:rsidR="00822B93">
        <w:rPr>
          <w:sz w:val="24"/>
          <w:szCs w:val="24"/>
        </w:rPr>
        <w:t>XI.26.</w:t>
      </w:r>
      <w:r w:rsidRPr="004F561F">
        <w:rPr>
          <w:sz w:val="24"/>
          <w:szCs w:val="24"/>
        </w:rPr>
        <w:t xml:space="preserve">) </w:t>
      </w:r>
      <w:r w:rsidR="00822B93">
        <w:rPr>
          <w:sz w:val="24"/>
          <w:szCs w:val="24"/>
        </w:rPr>
        <w:t xml:space="preserve">számú </w:t>
      </w:r>
      <w:bookmarkStart w:id="0" w:name="_GoBack"/>
      <w:bookmarkEnd w:id="0"/>
      <w:r w:rsidRPr="004F561F">
        <w:rPr>
          <w:sz w:val="24"/>
          <w:szCs w:val="24"/>
        </w:rPr>
        <w:t xml:space="preserve">önkormányzati rendelete </w:t>
      </w:r>
      <w:r w:rsidRPr="004F561F">
        <w:rPr>
          <w:spacing w:val="-3"/>
          <w:sz w:val="24"/>
          <w:szCs w:val="24"/>
        </w:rPr>
        <w:t xml:space="preserve">a </w:t>
      </w:r>
      <w:r w:rsidR="009D05EE">
        <w:rPr>
          <w:spacing w:val="-3"/>
          <w:sz w:val="24"/>
          <w:szCs w:val="24"/>
        </w:rPr>
        <w:t xml:space="preserve">helyi építményadóról </w:t>
      </w:r>
      <w:r w:rsidR="009D05EE">
        <w:rPr>
          <w:color w:val="000000"/>
          <w:sz w:val="24"/>
          <w:szCs w:val="24"/>
        </w:rPr>
        <w:t>szóló önkormányzati rendelet módosításáról</w:t>
      </w:r>
    </w:p>
    <w:p w:rsidR="009D05EE" w:rsidRDefault="009D05EE" w:rsidP="009D05EE">
      <w:pPr>
        <w:tabs>
          <w:tab w:val="left" w:pos="5220"/>
        </w:tabs>
        <w:ind w:left="0" w:right="-2"/>
        <w:jc w:val="center"/>
        <w:rPr>
          <w:b/>
          <w:szCs w:val="24"/>
        </w:rPr>
      </w:pPr>
    </w:p>
    <w:p w:rsidR="002B3973" w:rsidRPr="004F561F" w:rsidRDefault="002B3973" w:rsidP="004F561F">
      <w:pPr>
        <w:pStyle w:val="Cmsor1"/>
        <w:tabs>
          <w:tab w:val="left" w:pos="708"/>
        </w:tabs>
        <w:rPr>
          <w:color w:val="000000"/>
          <w:sz w:val="24"/>
          <w:szCs w:val="24"/>
        </w:rPr>
      </w:pPr>
    </w:p>
    <w:p w:rsidR="002B3973" w:rsidRPr="004F561F" w:rsidRDefault="002B3973" w:rsidP="0057123D">
      <w:pPr>
        <w:tabs>
          <w:tab w:val="left" w:pos="5220"/>
        </w:tabs>
        <w:ind w:left="0" w:right="-2"/>
        <w:jc w:val="center"/>
        <w:rPr>
          <w:b/>
          <w:szCs w:val="24"/>
        </w:rPr>
      </w:pPr>
    </w:p>
    <w:p w:rsidR="002B3973" w:rsidRPr="00506DA0" w:rsidRDefault="002B3973" w:rsidP="0057123D">
      <w:pPr>
        <w:ind w:left="0" w:right="-2"/>
        <w:rPr>
          <w:szCs w:val="24"/>
        </w:rPr>
      </w:pPr>
      <w:r w:rsidRPr="00506DA0">
        <w:rPr>
          <w:szCs w:val="24"/>
        </w:rPr>
        <w:t xml:space="preserve">A helyi adókról szóló 1990. évi C. törvény (a továbbiakban: </w:t>
      </w:r>
      <w:proofErr w:type="spellStart"/>
      <w:r w:rsidRPr="00506DA0">
        <w:rPr>
          <w:szCs w:val="24"/>
        </w:rPr>
        <w:t>Htv</w:t>
      </w:r>
      <w:proofErr w:type="spellEnd"/>
      <w:r w:rsidRPr="00506DA0">
        <w:rPr>
          <w:szCs w:val="24"/>
        </w:rPr>
        <w:t xml:space="preserve">.) 6. § (e) bekezdése felhatalmazza az önkormányzatokat, hogy a </w:t>
      </w:r>
      <w:proofErr w:type="spellStart"/>
      <w:r w:rsidRPr="00506DA0">
        <w:rPr>
          <w:szCs w:val="24"/>
        </w:rPr>
        <w:t>Htv</w:t>
      </w:r>
      <w:proofErr w:type="spellEnd"/>
      <w:r w:rsidRPr="00506DA0">
        <w:rPr>
          <w:szCs w:val="24"/>
        </w:rPr>
        <w:t>. és az adózás rendjéről szóló törvény keretei között az adózás részletszabályait meghatározza.</w:t>
      </w:r>
    </w:p>
    <w:p w:rsidR="002B3973" w:rsidRDefault="002B3973" w:rsidP="0057123D">
      <w:pPr>
        <w:ind w:left="0" w:right="-2"/>
        <w:rPr>
          <w:szCs w:val="24"/>
        </w:rPr>
      </w:pPr>
    </w:p>
    <w:p w:rsidR="004B4625" w:rsidRPr="004B4625" w:rsidRDefault="004B4625" w:rsidP="004B4625">
      <w:pPr>
        <w:suppressAutoHyphens w:val="0"/>
        <w:spacing w:after="160" w:line="259" w:lineRule="auto"/>
        <w:ind w:left="0" w:right="0"/>
        <w:rPr>
          <w:rFonts w:eastAsia="Calibri"/>
          <w:szCs w:val="24"/>
          <w:lang w:eastAsia="en-US"/>
        </w:rPr>
      </w:pPr>
      <w:r w:rsidRPr="004B4625">
        <w:rPr>
          <w:rFonts w:eastAsia="Calibri"/>
          <w:szCs w:val="24"/>
          <w:lang w:eastAsia="en-US"/>
        </w:rPr>
        <w:t>Dunakeszi Város Önkormányzata az egyes adómértékeket hosszú ideje nem változtatta meg, így a gazdasági hatások miatt az ingatlanok után fizetett adókból befolyó bevétel reálértéke évről-évre folyamatosan csökkent. Az önkormányzati feladatok, szolgáltatások megfelelő, magasabb színvonalú ellátásához szükségessé vált a közel nyolc éve változatlan adók inflációs elmaradásnak rendezése.</w:t>
      </w:r>
    </w:p>
    <w:p w:rsidR="004B4625" w:rsidRDefault="004F45C8" w:rsidP="004F45C8">
      <w:pPr>
        <w:ind w:left="0" w:right="-2"/>
        <w:jc w:val="center"/>
        <w:rPr>
          <w:szCs w:val="24"/>
        </w:rPr>
      </w:pPr>
      <w:proofErr w:type="gramStart"/>
      <w:r>
        <w:rPr>
          <w:szCs w:val="24"/>
        </w:rPr>
        <w:t>az</w:t>
      </w:r>
      <w:proofErr w:type="gramEnd"/>
      <w:r>
        <w:rPr>
          <w:szCs w:val="24"/>
        </w:rPr>
        <w:t xml:space="preserve"> 1. §-hoz</w:t>
      </w:r>
    </w:p>
    <w:p w:rsidR="004F45C8" w:rsidRDefault="004F45C8" w:rsidP="004F45C8">
      <w:pPr>
        <w:ind w:left="0" w:right="-2"/>
        <w:jc w:val="center"/>
        <w:rPr>
          <w:szCs w:val="24"/>
        </w:rPr>
      </w:pPr>
    </w:p>
    <w:p w:rsidR="004F45C8" w:rsidRDefault="004F45C8" w:rsidP="004B4625">
      <w:pPr>
        <w:ind w:left="0" w:right="-2"/>
      </w:pPr>
      <w:r>
        <w:rPr>
          <w:szCs w:val="24"/>
        </w:rPr>
        <w:t xml:space="preserve">A rendelkezések módosítják </w:t>
      </w:r>
      <w:r w:rsidR="001D76BD">
        <w:rPr>
          <w:szCs w:val="24"/>
        </w:rPr>
        <w:t xml:space="preserve">a magánszemélyek kivételével a belterületi nem lakás céljára szolgáló építmények után fizetendő </w:t>
      </w:r>
      <w:r>
        <w:rPr>
          <w:szCs w:val="24"/>
        </w:rPr>
        <w:t xml:space="preserve">építményadó mértékét, </w:t>
      </w:r>
      <w:r w:rsidR="001D76BD">
        <w:rPr>
          <w:szCs w:val="24"/>
        </w:rPr>
        <w:t xml:space="preserve">egységesítve ezzel a kereskedelmi és szolgáltató tevékenység folytatására szolgáló építmények után fizetendő építményadót az ezen körbe nem sorolható építmények adómértékével. </w:t>
      </w:r>
      <w:r w:rsidR="00A26576">
        <w:rPr>
          <w:szCs w:val="24"/>
        </w:rPr>
        <w:t>M</w:t>
      </w:r>
      <w:r>
        <w:rPr>
          <w:szCs w:val="24"/>
        </w:rPr>
        <w:t xml:space="preserve">ódosításokat tartalmaz </w:t>
      </w:r>
      <w:r w:rsidR="00A26576">
        <w:rPr>
          <w:szCs w:val="24"/>
        </w:rPr>
        <w:t xml:space="preserve">továbbá </w:t>
      </w:r>
      <w:r>
        <w:rPr>
          <w:szCs w:val="24"/>
        </w:rPr>
        <w:t>a k</w:t>
      </w:r>
      <w:r w:rsidRPr="003C2197">
        <w:t>ülterületi lakás és nem lakás céljára szolgáló épület, épületrész</w:t>
      </w:r>
      <w:r>
        <w:t xml:space="preserve"> után fizetendő építményadó tekintetében.</w:t>
      </w:r>
    </w:p>
    <w:p w:rsidR="004F45C8" w:rsidRDefault="004F45C8" w:rsidP="004B4625">
      <w:pPr>
        <w:ind w:left="0" w:right="-2"/>
      </w:pPr>
    </w:p>
    <w:p w:rsidR="00D76A56" w:rsidRDefault="00D76A56" w:rsidP="00D76A56">
      <w:pPr>
        <w:ind w:left="0" w:right="-2"/>
        <w:jc w:val="center"/>
      </w:pPr>
      <w:proofErr w:type="gramStart"/>
      <w:r>
        <w:t>a</w:t>
      </w:r>
      <w:proofErr w:type="gramEnd"/>
      <w:r>
        <w:t xml:space="preserve"> 2. §-hoz</w:t>
      </w:r>
    </w:p>
    <w:p w:rsidR="00D76A56" w:rsidRDefault="00D76A56" w:rsidP="004B4625">
      <w:pPr>
        <w:ind w:left="0" w:right="-2"/>
      </w:pPr>
    </w:p>
    <w:p w:rsidR="00D76A56" w:rsidRDefault="00D76A56" w:rsidP="004B4625">
      <w:pPr>
        <w:ind w:left="0" w:right="-2"/>
      </w:pPr>
      <w:r>
        <w:t>A rendelkezések az 1. §-</w:t>
      </w:r>
      <w:proofErr w:type="spellStart"/>
      <w:r>
        <w:t>ban</w:t>
      </w:r>
      <w:proofErr w:type="spellEnd"/>
      <w:r>
        <w:t xml:space="preserve"> rögzített módosításokat követve a kedvezményezben részesíthető építmények körét módosítja, pontosítja.</w:t>
      </w:r>
    </w:p>
    <w:p w:rsidR="00D76A56" w:rsidRDefault="00D76A56" w:rsidP="004B4625">
      <w:pPr>
        <w:ind w:left="0" w:right="-2"/>
      </w:pPr>
    </w:p>
    <w:p w:rsidR="004F45C8" w:rsidRDefault="00D76A56" w:rsidP="004F45C8">
      <w:pPr>
        <w:ind w:left="0" w:right="-2"/>
        <w:jc w:val="center"/>
      </w:pPr>
      <w:proofErr w:type="gramStart"/>
      <w:r>
        <w:t>a</w:t>
      </w:r>
      <w:proofErr w:type="gramEnd"/>
      <w:r>
        <w:t xml:space="preserve"> 3</w:t>
      </w:r>
      <w:r w:rsidR="004F45C8">
        <w:t>. §-hoz</w:t>
      </w:r>
    </w:p>
    <w:p w:rsidR="004F45C8" w:rsidRDefault="004F45C8" w:rsidP="004B4625">
      <w:pPr>
        <w:ind w:left="0" w:right="-2"/>
        <w:rPr>
          <w:szCs w:val="24"/>
        </w:rPr>
      </w:pPr>
    </w:p>
    <w:p w:rsidR="004F45C8" w:rsidRPr="004B4625" w:rsidRDefault="004F45C8" w:rsidP="004B4625">
      <w:pPr>
        <w:ind w:left="0" w:right="-2"/>
        <w:rPr>
          <w:szCs w:val="24"/>
        </w:rPr>
      </w:pPr>
      <w:r>
        <w:rPr>
          <w:szCs w:val="24"/>
        </w:rPr>
        <w:t>Hatályba léptető rendelkezést tartalmaz.</w:t>
      </w:r>
    </w:p>
    <w:sectPr w:rsidR="004F45C8" w:rsidRPr="004B4625" w:rsidSect="008C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07869"/>
    <w:multiLevelType w:val="hybridMultilevel"/>
    <w:tmpl w:val="43128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3D"/>
    <w:rsid w:val="00035562"/>
    <w:rsid w:val="00046E7A"/>
    <w:rsid w:val="00165B93"/>
    <w:rsid w:val="001D76BD"/>
    <w:rsid w:val="00294AED"/>
    <w:rsid w:val="002B3973"/>
    <w:rsid w:val="0032039F"/>
    <w:rsid w:val="004B4625"/>
    <w:rsid w:val="004F45C8"/>
    <w:rsid w:val="004F561F"/>
    <w:rsid w:val="00506DA0"/>
    <w:rsid w:val="00553E45"/>
    <w:rsid w:val="0057123D"/>
    <w:rsid w:val="006C7846"/>
    <w:rsid w:val="006F2705"/>
    <w:rsid w:val="007B3EB4"/>
    <w:rsid w:val="00822B93"/>
    <w:rsid w:val="008C1D7A"/>
    <w:rsid w:val="009868CB"/>
    <w:rsid w:val="009D05EE"/>
    <w:rsid w:val="00A23AD1"/>
    <w:rsid w:val="00A26576"/>
    <w:rsid w:val="00D42628"/>
    <w:rsid w:val="00D73DB2"/>
    <w:rsid w:val="00D76A56"/>
    <w:rsid w:val="00E8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CF164"/>
  <w15:docId w15:val="{758554BC-03DE-42A0-8AB3-32BBAD20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23D"/>
    <w:pPr>
      <w:suppressAutoHyphens/>
      <w:ind w:left="851" w:right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4F561F"/>
    <w:pPr>
      <w:keepNext/>
      <w:widowControl w:val="0"/>
      <w:tabs>
        <w:tab w:val="left" w:pos="4260"/>
      </w:tabs>
      <w:suppressAutoHyphens w:val="0"/>
      <w:autoSpaceDE w:val="0"/>
      <w:autoSpaceDN w:val="0"/>
      <w:adjustRightInd w:val="0"/>
      <w:ind w:left="0" w:right="0"/>
      <w:jc w:val="center"/>
      <w:outlineLvl w:val="0"/>
    </w:pPr>
    <w:rPr>
      <w:rFonts w:eastAsia="Calibri"/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F561F"/>
    <w:rPr>
      <w:rFonts w:cs="Times New Roman"/>
      <w:b/>
      <w:bCs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4B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1304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>DK Polgármesteri Hivatal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borsi.timea</dc:creator>
  <cp:keywords/>
  <dc:description/>
  <cp:lastModifiedBy>Forgács Andrea</cp:lastModifiedBy>
  <cp:revision>2</cp:revision>
  <dcterms:created xsi:type="dcterms:W3CDTF">2020-11-26T14:05:00Z</dcterms:created>
  <dcterms:modified xsi:type="dcterms:W3CDTF">2020-11-26T14:05:00Z</dcterms:modified>
</cp:coreProperties>
</file>