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AE" w:rsidRPr="00D14A97" w:rsidRDefault="007E65AE" w:rsidP="007E65AE">
      <w:pPr>
        <w:widowControl/>
        <w:suppressAutoHyphens w:val="0"/>
        <w:spacing w:after="120"/>
        <w:rPr>
          <w:rFonts w:ascii="Arial" w:hAnsi="Arial" w:cs="Arial"/>
          <w:sz w:val="22"/>
          <w:szCs w:val="22"/>
        </w:rPr>
      </w:pPr>
      <w:r w:rsidRPr="00D14A97">
        <w:rPr>
          <w:rFonts w:ascii="Arial" w:hAnsi="Arial" w:cs="Arial"/>
          <w:sz w:val="22"/>
          <w:szCs w:val="22"/>
        </w:rPr>
        <w:t>3. sz. függelék - Természet- és tájvédelmi szempontból tiltott fajok listája</w:t>
      </w:r>
    </w:p>
    <w:p w:rsidR="007E65AE" w:rsidRPr="00D14A97" w:rsidRDefault="007E65AE" w:rsidP="007E65AE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E65AE" w:rsidRPr="00D14A97" w:rsidRDefault="007E65AE" w:rsidP="007E65AE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E65AE" w:rsidRPr="00D14A97" w:rsidRDefault="007E65AE" w:rsidP="007E65AE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14A97">
        <w:rPr>
          <w:rFonts w:ascii="Arial" w:hAnsi="Arial" w:cs="Arial"/>
          <w:b/>
          <w:sz w:val="22"/>
          <w:szCs w:val="22"/>
          <w:u w:val="single"/>
        </w:rPr>
        <w:t>1143/2014. EU rendelet</w:t>
      </w:r>
    </w:p>
    <w:p w:rsidR="007E65AE" w:rsidRPr="00D14A97" w:rsidRDefault="007E65AE" w:rsidP="007E65A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D14A97">
        <w:rPr>
          <w:rFonts w:ascii="Arial" w:hAnsi="Arial" w:cs="Arial"/>
          <w:b/>
          <w:sz w:val="22"/>
          <w:szCs w:val="22"/>
        </w:rPr>
        <w:t>az</w:t>
      </w:r>
      <w:proofErr w:type="gramEnd"/>
      <w:r w:rsidRPr="00D14A97">
        <w:rPr>
          <w:rFonts w:ascii="Arial" w:hAnsi="Arial" w:cs="Arial"/>
          <w:b/>
          <w:sz w:val="22"/>
          <w:szCs w:val="22"/>
        </w:rPr>
        <w:t xml:space="preserve"> idegenhonos inváziós fajok betelepítésének vagy behurcolásának</w:t>
      </w:r>
    </w:p>
    <w:p w:rsidR="007E65AE" w:rsidRPr="00D14A97" w:rsidRDefault="007E65AE" w:rsidP="007E65A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14A9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D14A97">
        <w:rPr>
          <w:rFonts w:ascii="Arial" w:hAnsi="Arial" w:cs="Arial"/>
          <w:b/>
          <w:sz w:val="22"/>
          <w:szCs w:val="22"/>
        </w:rPr>
        <w:t>és</w:t>
      </w:r>
      <w:proofErr w:type="gramEnd"/>
      <w:r w:rsidRPr="00D14A97">
        <w:rPr>
          <w:rFonts w:ascii="Arial" w:hAnsi="Arial" w:cs="Arial"/>
          <w:b/>
          <w:sz w:val="22"/>
          <w:szCs w:val="22"/>
        </w:rPr>
        <w:t xml:space="preserve"> terjedésének megelőzéséről és kezeléséről</w:t>
      </w:r>
    </w:p>
    <w:p w:rsidR="007E65AE" w:rsidRPr="00D14A97" w:rsidRDefault="007E65AE" w:rsidP="007E65AE">
      <w:pPr>
        <w:spacing w:after="120"/>
        <w:rPr>
          <w:rFonts w:ascii="Arial" w:hAnsi="Arial" w:cs="Arial"/>
          <w:sz w:val="22"/>
          <w:szCs w:val="22"/>
        </w:rPr>
      </w:pPr>
    </w:p>
    <w:p w:rsidR="007E65AE" w:rsidRPr="00D14A97" w:rsidRDefault="007E65AE" w:rsidP="007E65A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4A97">
        <w:rPr>
          <w:rFonts w:ascii="Arial" w:hAnsi="Arial" w:cs="Arial"/>
          <w:sz w:val="22"/>
          <w:szCs w:val="22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7E65AE" w:rsidRPr="00D14A97" w:rsidRDefault="007E65AE" w:rsidP="007E65AE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5580"/>
      </w:tblGrid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b/>
                <w:bCs/>
                <w:sz w:val="22"/>
                <w:szCs w:val="22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b/>
                <w:bCs/>
                <w:sz w:val="22"/>
                <w:szCs w:val="22"/>
              </w:rPr>
              <w:t>Tudományos név</w:t>
            </w:r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Baccharis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halimifolia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Cabomba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caroliniana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Eichhornia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crassipes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Heracleum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persicum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Heracleum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sosnowskyi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Hydrocotyle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ranunculoides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Lagarosiphon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major</w:t>
            </w:r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Ludwigia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grandiflora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Ludwigia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peploides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Lysichiton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americanus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Myriophyllum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aquaticum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Parthenium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hysterophorus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Persicaria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perfoliata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kudzu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Pueraria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montana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var.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lobata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Asclepias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syriaca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Elodea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nuttallii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Impatiens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glandulifera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Myriophyllum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heterophyllum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Heracleum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mantegazzianum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r w:rsidRPr="00D14A97">
              <w:rPr>
                <w:rFonts w:ascii="Arial" w:hAnsi="Arial" w:cs="Arial"/>
                <w:sz w:val="22"/>
                <w:szCs w:val="22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Gunnera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tinctoria</w:t>
            </w:r>
            <w:proofErr w:type="spellEnd"/>
          </w:p>
        </w:tc>
      </w:tr>
      <w:tr w:rsidR="007E65AE" w:rsidRPr="00D14A97" w:rsidTr="000A05A6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5AE" w:rsidRPr="00D14A97" w:rsidRDefault="007E65AE" w:rsidP="000A05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Pennisetum</w:t>
            </w:r>
            <w:proofErr w:type="spellEnd"/>
            <w:r w:rsidRPr="00D14A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14A97">
              <w:rPr>
                <w:rFonts w:ascii="Arial" w:hAnsi="Arial" w:cs="Arial"/>
                <w:sz w:val="22"/>
                <w:szCs w:val="22"/>
              </w:rPr>
              <w:t>setaceum</w:t>
            </w:r>
            <w:proofErr w:type="spellEnd"/>
          </w:p>
        </w:tc>
      </w:tr>
    </w:tbl>
    <w:p w:rsidR="007E65AE" w:rsidRPr="00D14A97" w:rsidRDefault="007E65AE" w:rsidP="007E65AE">
      <w:pPr>
        <w:spacing w:after="120"/>
        <w:rPr>
          <w:rFonts w:ascii="Arial" w:hAnsi="Arial" w:cs="Arial"/>
          <w:sz w:val="22"/>
          <w:szCs w:val="22"/>
        </w:rPr>
      </w:pPr>
    </w:p>
    <w:p w:rsidR="00DE560F" w:rsidRPr="007E65AE" w:rsidRDefault="00DE560F" w:rsidP="007E65AE">
      <w:pPr>
        <w:widowControl/>
        <w:suppressAutoHyphens w:val="0"/>
        <w:rPr>
          <w:rFonts w:ascii="Arial" w:hAnsi="Arial" w:cs="Arial"/>
          <w:sz w:val="22"/>
          <w:szCs w:val="22"/>
        </w:rPr>
      </w:pPr>
    </w:p>
    <w:sectPr w:rsidR="00DE560F" w:rsidRPr="007E65AE" w:rsidSect="00DE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5AE"/>
    <w:rsid w:val="007E65AE"/>
    <w:rsid w:val="00DE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5A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2018-10-15T13:50:00Z</dcterms:created>
  <dcterms:modified xsi:type="dcterms:W3CDTF">2018-10-15T13:50:00Z</dcterms:modified>
</cp:coreProperties>
</file>