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95" w:rsidRPr="00C65192" w:rsidRDefault="006B7195" w:rsidP="006B719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b/>
          <w:lang w:eastAsia="ar-SA"/>
        </w:rPr>
        <w:t>1. számú függelék</w:t>
      </w:r>
    </w:p>
    <w:p w:rsidR="006B7195" w:rsidRPr="00C65192" w:rsidRDefault="006B7195" w:rsidP="006B7195">
      <w:pPr>
        <w:keepNext/>
        <w:suppressAutoHyphens/>
        <w:spacing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6B7195" w:rsidRPr="00C65192" w:rsidRDefault="006B7195" w:rsidP="006B7195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Rétalap Község Önkormányzata Képviselő-testületének</w:t>
      </w:r>
    </w:p>
    <w:p w:rsidR="006B7195" w:rsidRPr="00C65192" w:rsidRDefault="006B7195" w:rsidP="006B7195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4/2015. (II. 13.) önkormányzati r</w:t>
      </w:r>
      <w:r w:rsidRPr="00C65192">
        <w:rPr>
          <w:rFonts w:ascii="Arial" w:eastAsia="Times New Roman" w:hAnsi="Arial" w:cs="Arial"/>
          <w:b/>
          <w:lang w:eastAsia="hu-HU"/>
        </w:rPr>
        <w:t>endelete</w:t>
      </w:r>
    </w:p>
    <w:p w:rsidR="006B7195" w:rsidRPr="00C65192" w:rsidRDefault="006B7195" w:rsidP="006B7195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C65192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C65192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6B7195" w:rsidRPr="00C65192" w:rsidRDefault="006B7195" w:rsidP="006B7195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Képviselői és hozzátartozói vagyonnyilatkozatok kezelése és az összeférhetetlenséggel kapcsolatos eljárás</w:t>
      </w: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A képviselői és hozzátartozó vagyonnyilatkozat nyilvántartásának, kezelésének és ellenőrzésének szabályai</w:t>
      </w: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1. Általános rendelkezések</w:t>
      </w: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lang w:eastAsia="ar-SA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1. A polgármester és az önkormányzati képviselők vagyonnyilatkozatának nyilvántartásával, ellenőrzésével kapcsolatos feladatokat az Ügyrendi Bizottság (továbbiakban: bizottság) látja el.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2. A polgármester, az önkormányzati képviselő a vele közös háztartásban élő házas, vagy élettársa, valamint gyermeke vagyonnyilatkozatának egy kitöltött példányát a bizottság elnöke veszi át. Az átvételről igazolást állít ki.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3. A polgármester, az önkormányzati képviselő saját, valamint hozzátartozói vagyonnyilatkozatát külön-külön borítékban adja át a bizottság elnökének.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4. A vagyonnyilatkozatot a jogbiztonság érdekében minden oldalon dátummal és aláírással kell ellátni. A vagyonnyilatkozatot a képviselő, a hozzátartozó, kiskorú esetén a törvényes képviselő írja alá.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5. A polgármester és az önkormányzati képviselő vagyonnyilatkozata névvel ellátott nyitott borítékban, a hozzátartozói vagyonnyilatkozat átvétele névvel ellátott, lezárt, az átvételkor az Önkormányzat Hivatalának körbélyegzőjével lepecsételt borítékban történik.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6. A vagyonnyilatkozatokkal kapcsolatos adminisztrációs feladatokat a közös önkormányzati hivatal Rétalapon dolgozó köztisztviselője látja el.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2. A vagyonnyilatkozat kezelésének szabályai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1. A vagyonnyilatkozatot az egyéb iratoktól elkülönítetten kell kezelni, azokat a Rétlapon dolgozó ügyintézőnél erre a célra kijelölt lemezszekrényben kell őrizni.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2. A vagyonnyilatkozatokról, a betekintésekről, az ellenőrzési eljárásról nyilvántartást kell vezetni.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3. A vagyonnyilatkozatokkal kapcsolatos iratokat iktatni kell. A vagyonnyilatkozatokat főszámra kell iktatni.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4. A vagyonnyilatkozatok nyilvánossága: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- a polgármester, önkormányzati képviselő vagyonnyilatkozata – az ellenőrzéshez szolgáltatott azonosító adatok kivételével – nyilvános, melyeket a Hivatal arra kijelölt helyiségében a bizottság elnöke, vagy valamely tagja jelenlétében bárki megtekintheti.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- a hozzátartozói vagyonnyilatkozat nem nyilvános.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5. A bizottság felel azért, hogy a vagyonnyilatkozatokat az adatvédelmi szabályoknak megfelelően őrizzék, kezeljék, és hogy az azokban foglaltakat – nyilvános vagyonnyilatkozatok kivételével – más ne ismerhesse meg.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3. A vagyonnyilatkozat ellenőrzésével és az eljárással kapcsolatos szabályok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1. A vagyonnyilatkozattal kapcsolatos eljárást a bizottságnál bárki kezdeményezheti. A vagyonnyilatkozattal kapcsolatos eljárás célja a vagyonnyilatkozatban foglaltak valóságtartalmának ellenőrzése. A bizottság eljárására a képviselő-testület zárt ülésére vonatkozó szabályait kell alkalmazni.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2. Eljárás kezdeményezése esetén az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15 napon belül nem tesz eleget a felhívásnak, vagy ha a kezdeményezés nyilvánvalóan alaptalan, a bizottság annak az eljárás lefolytatása nélkül elutasítja kezdeményezést.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3. Az ellenőrzési eljárás megismétlésének ugyanazon vagyonnyilatkozat esetén csak akkor van helye, ha az erre irányuló kezdeményezés új tényállást (adatot) tartalmaz. A vagyonnyilatkozattal kapcsolatos eljárásra irányuló új tényállítás nélküli – ismételt kezdeményezést a bizottság az eljárás lefolytatása nélkül elutasítja. 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4. Eljárás kezdeményezéséről a bizottság elnöke haladéktalanul tájékoztatja az érintett képviselőt, aki (az azonosító adatok beszerzéséhez szükséges ésszerű határidőn belül) bejelenti az azonosító adatokat.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5. Az azonosító adatokat csak a bizottság tagjai ismerhetik meg, azokat az eljárás lezárását követő 8 napon belül a bizottság köteles törölni. A bizottság csak a vagyonnyilatkozat megtételére szolgáló nyomtatványon szereplő adatkörrel kapcsolatosan kérhet azonosító adatokat.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6. A bizottság az ellenőrzési eljárás eredményéről a képviselő-testületet a soron következő ülésén tájékoztatja. A vagyonnyilatkozattal kapcsolatos döntés a képviselő-testület át nem ruházható hatáskörébe tartozik.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7. Ha a vagyonnyilatkozat tételére kötelezett képviselő a bizottságnak írásban bejelenti, hogy a közös háztartásban élő házas vagy élettársával, gyermekével a közös háztartásban élés megszűnt, a bizottság az általa kezelt hozzátartozói vagyonnyilatkozatot haladéktalanul visszaadja az önkormányzati képviselőnek, melyről igazolást kell kiállítani.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8. Az önkormányzati képviselő megbízatásának megszűnésekor a bizottság a képviselő részére a saját és a hozzátartozói vagyonnyilatkozatokat visszaadja, melyről igazolást kell kiállítani.</w:t>
      </w: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i/>
          <w:lang w:eastAsia="ar-SA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i/>
          <w:lang w:eastAsia="ar-SA"/>
        </w:rPr>
      </w:pPr>
    </w:p>
    <w:p w:rsidR="006B7195" w:rsidRPr="00C65192" w:rsidRDefault="006B7195" w:rsidP="006B7195">
      <w:pPr>
        <w:keepNext/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4. Az önkormányzati képviselő összeférhetetlenségével kapcsolatos eljárási szabályok</w:t>
      </w: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6B7195" w:rsidRPr="00C65192" w:rsidRDefault="006B7195" w:rsidP="006B7195">
      <w:pPr>
        <w:spacing w:line="240" w:lineRule="auto"/>
        <w:jc w:val="both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A bizottság előkészíti a – polgármester kivételével – a képviselő-testület hatáskörébe tartozó összeférhetetlenségi és fegyelmi ügyeket. Az önkormányzati képviselő összeférhetetlenségének a megállapítását bárki kezdeményezheti a polgármesternél. A polgármester átadja az Ügyrendi bizottságnak a kezdeményezést, a vizsgálatot lefolytatja, és </w:t>
      </w:r>
      <w:r w:rsidRPr="00C65192">
        <w:rPr>
          <w:rFonts w:ascii="Arial" w:eastAsia="Times New Roman" w:hAnsi="Arial" w:cs="Arial"/>
          <w:lang w:eastAsia="hu-HU"/>
        </w:rPr>
        <w:lastRenderedPageBreak/>
        <w:t xml:space="preserve">előterjesztést készít a </w:t>
      </w:r>
      <w:proofErr w:type="gramStart"/>
      <w:r w:rsidRPr="00C65192">
        <w:rPr>
          <w:rFonts w:ascii="Arial" w:eastAsia="Times New Roman" w:hAnsi="Arial" w:cs="Arial"/>
          <w:lang w:eastAsia="hu-HU"/>
        </w:rPr>
        <w:t>képviselő-testület következő</w:t>
      </w:r>
      <w:proofErr w:type="gramEnd"/>
      <w:r w:rsidRPr="00C65192">
        <w:rPr>
          <w:rFonts w:ascii="Arial" w:eastAsia="Times New Roman" w:hAnsi="Arial" w:cs="Arial"/>
          <w:lang w:eastAsia="hu-HU"/>
        </w:rPr>
        <w:t xml:space="preserve"> ülésére. A bizottság eljárására a képviselő-testület zárt ülésére vonatkozó szabályait kell alkalmazni.</w:t>
      </w:r>
    </w:p>
    <w:p w:rsidR="006B7195" w:rsidRPr="00C65192" w:rsidRDefault="006B7195" w:rsidP="006B7195">
      <w:pPr>
        <w:spacing w:line="240" w:lineRule="auto"/>
        <w:rPr>
          <w:rFonts w:ascii="Arial" w:eastAsia="Calibri" w:hAnsi="Arial" w:cs="Arial"/>
        </w:rPr>
      </w:pPr>
    </w:p>
    <w:p w:rsidR="006B7195" w:rsidRPr="00C65192" w:rsidRDefault="006B7195" w:rsidP="006B7195">
      <w:pPr>
        <w:spacing w:line="240" w:lineRule="auto"/>
        <w:rPr>
          <w:rFonts w:ascii="Arial" w:eastAsia="Calibri" w:hAnsi="Arial" w:cs="Arial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95"/>
    <w:rsid w:val="006B7195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1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1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2015-02-25T14:48:00Z</dcterms:created>
  <dcterms:modified xsi:type="dcterms:W3CDTF">2015-02-25T14:49:00Z</dcterms:modified>
</cp:coreProperties>
</file>