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A5B" w:rsidRPr="007C54BA" w:rsidRDefault="00A05A5B" w:rsidP="00A05A5B">
      <w:pPr>
        <w:spacing w:after="0" w:line="240" w:lineRule="auto"/>
        <w:jc w:val="center"/>
        <w:rPr>
          <w:rFonts w:ascii="Book Antiqua" w:hAnsi="Book Antiqua"/>
          <w:b/>
          <w:bCs/>
        </w:rPr>
      </w:pPr>
      <w:r w:rsidRPr="007C54BA">
        <w:rPr>
          <w:rFonts w:ascii="Book Antiqua" w:hAnsi="Book Antiqua"/>
          <w:b/>
          <w:bCs/>
        </w:rPr>
        <w:t>Keszthely Város Önkormányzata Képviselő-testülete</w:t>
      </w:r>
    </w:p>
    <w:p w:rsidR="00A05A5B" w:rsidRPr="007C54BA" w:rsidRDefault="00A05A5B" w:rsidP="00A05A5B">
      <w:pPr>
        <w:spacing w:after="0" w:line="240" w:lineRule="auto"/>
        <w:jc w:val="center"/>
        <w:rPr>
          <w:rFonts w:ascii="Book Antiqua" w:hAnsi="Book Antiqua"/>
          <w:b/>
          <w:bCs/>
        </w:rPr>
      </w:pPr>
      <w:r>
        <w:rPr>
          <w:rFonts w:ascii="Book Antiqua" w:hAnsi="Book Antiqua"/>
          <w:b/>
          <w:bCs/>
        </w:rPr>
        <w:t>41</w:t>
      </w:r>
      <w:r w:rsidRPr="007C54BA">
        <w:rPr>
          <w:rFonts w:ascii="Book Antiqua" w:hAnsi="Book Antiqua"/>
          <w:b/>
          <w:bCs/>
        </w:rPr>
        <w:t>/20</w:t>
      </w:r>
      <w:r>
        <w:rPr>
          <w:rFonts w:ascii="Book Antiqua" w:hAnsi="Book Antiqua"/>
          <w:b/>
          <w:bCs/>
        </w:rPr>
        <w:t>20</w:t>
      </w:r>
      <w:r w:rsidRPr="007C54BA">
        <w:rPr>
          <w:rFonts w:ascii="Book Antiqua" w:hAnsi="Book Antiqua"/>
          <w:b/>
          <w:bCs/>
        </w:rPr>
        <w:t xml:space="preserve">. (X. </w:t>
      </w:r>
      <w:r>
        <w:rPr>
          <w:rFonts w:ascii="Book Antiqua" w:hAnsi="Book Antiqua"/>
          <w:b/>
          <w:bCs/>
        </w:rPr>
        <w:t>30.</w:t>
      </w:r>
      <w:r w:rsidRPr="007C54BA">
        <w:rPr>
          <w:rFonts w:ascii="Book Antiqua" w:hAnsi="Book Antiqua"/>
          <w:b/>
          <w:bCs/>
        </w:rPr>
        <w:t>) önkormányzati rendelete</w:t>
      </w:r>
    </w:p>
    <w:p w:rsidR="00A05A5B" w:rsidRDefault="00A05A5B" w:rsidP="00A05A5B">
      <w:pPr>
        <w:spacing w:after="0" w:line="240" w:lineRule="auto"/>
        <w:jc w:val="center"/>
        <w:rPr>
          <w:rFonts w:ascii="Book Antiqua" w:hAnsi="Book Antiqua"/>
          <w:b/>
          <w:bCs/>
        </w:rPr>
      </w:pPr>
      <w:r w:rsidRPr="007C54BA">
        <w:rPr>
          <w:rFonts w:ascii="Book Antiqua" w:hAnsi="Book Antiqua"/>
          <w:b/>
          <w:bCs/>
        </w:rPr>
        <w:t xml:space="preserve">Keszthely Város Önkormányzata Szervezeti és Működési Szabályzatáról szóló </w:t>
      </w:r>
    </w:p>
    <w:p w:rsidR="00A05A5B" w:rsidRPr="007C54BA" w:rsidRDefault="00A05A5B" w:rsidP="00A05A5B">
      <w:pPr>
        <w:spacing w:after="0" w:line="240" w:lineRule="auto"/>
        <w:jc w:val="center"/>
        <w:rPr>
          <w:rFonts w:ascii="Book Antiqua" w:hAnsi="Book Antiqua"/>
          <w:b/>
          <w:bCs/>
        </w:rPr>
      </w:pPr>
      <w:r w:rsidRPr="007C54BA">
        <w:rPr>
          <w:rFonts w:ascii="Book Antiqua" w:hAnsi="Book Antiqua"/>
          <w:b/>
          <w:bCs/>
        </w:rPr>
        <w:t>23/2014. (X. 22.) önkormányzati rendelet módosításáról</w:t>
      </w:r>
    </w:p>
    <w:p w:rsidR="00A05A5B" w:rsidRPr="007C54BA" w:rsidRDefault="00A05A5B" w:rsidP="00A05A5B">
      <w:pPr>
        <w:spacing w:after="0" w:line="240" w:lineRule="auto"/>
        <w:rPr>
          <w:rFonts w:ascii="Book Antiqua" w:hAnsi="Book Antiqua"/>
        </w:rPr>
      </w:pPr>
    </w:p>
    <w:p w:rsidR="00A05A5B" w:rsidRPr="007C54BA" w:rsidRDefault="00A05A5B" w:rsidP="00A05A5B">
      <w:pPr>
        <w:spacing w:after="0" w:line="240" w:lineRule="auto"/>
        <w:jc w:val="both"/>
        <w:rPr>
          <w:rFonts w:ascii="Book Antiqua" w:hAnsi="Book Antiqua"/>
        </w:rPr>
      </w:pPr>
      <w:r w:rsidRPr="007C54BA">
        <w:rPr>
          <w:rFonts w:ascii="Book Antiqua" w:hAnsi="Book Antiqua"/>
        </w:rPr>
        <w:t>Keszthely Város Önkormányzata Képviselő-testülete Magyarország Alaptörvénye 32. cikk (2) bekezdésében foglalt eredeti jogalkotói hatáskörében eljárva, valamint Magyarország Alaptörvénye 32. cikk (1) bekezdés a) és d) pontjában, továbbá Magyarország helyi önkormányzatairól szóló 2011. évi CLXXXIX. törvény 53. § (1) bekezdésében foglalt feladatkörében eljárva a következőket rendeli el.</w:t>
      </w:r>
    </w:p>
    <w:p w:rsidR="00A05A5B" w:rsidRPr="007C54BA" w:rsidRDefault="00A05A5B" w:rsidP="00A05A5B">
      <w:pPr>
        <w:spacing w:after="0" w:line="240" w:lineRule="auto"/>
        <w:rPr>
          <w:rFonts w:ascii="Book Antiqua" w:hAnsi="Book Antiqua"/>
        </w:rPr>
      </w:pPr>
    </w:p>
    <w:p w:rsidR="00A05A5B" w:rsidRDefault="00A05A5B" w:rsidP="00A05A5B">
      <w:pPr>
        <w:numPr>
          <w:ilvl w:val="0"/>
          <w:numId w:val="1"/>
        </w:numPr>
        <w:spacing w:after="0" w:line="240" w:lineRule="auto"/>
        <w:jc w:val="both"/>
        <w:rPr>
          <w:rFonts w:ascii="Book Antiqua" w:hAnsi="Book Antiqua"/>
        </w:rPr>
      </w:pPr>
      <w:r w:rsidRPr="00B95063">
        <w:rPr>
          <w:rFonts w:ascii="Book Antiqua" w:hAnsi="Book Antiqua"/>
        </w:rPr>
        <w:t>§ Keszthely Város Önkormányzata Szervezeti és Működési Szabályzatáról szóló 23/2014. (X.22.) önkormányzati rendelete</w:t>
      </w:r>
      <w:r>
        <w:rPr>
          <w:rFonts w:ascii="Book Antiqua" w:hAnsi="Book Antiqua"/>
        </w:rPr>
        <w:t xml:space="preserve"> </w:t>
      </w:r>
      <w:r w:rsidRPr="00B95063">
        <w:rPr>
          <w:rFonts w:ascii="Book Antiqua" w:hAnsi="Book Antiqua"/>
        </w:rPr>
        <w:t>2. számú melléklete – A polgármesterre átruházott hatáskörök - VII. Egyéb ügyekben című fejezet</w:t>
      </w:r>
      <w:r>
        <w:rPr>
          <w:rFonts w:ascii="Book Antiqua" w:hAnsi="Book Antiqua"/>
        </w:rPr>
        <w:t>e c.) pontja az alábbiak szerint módosul.</w:t>
      </w:r>
    </w:p>
    <w:p w:rsidR="00A05A5B" w:rsidRPr="007149CE" w:rsidRDefault="00A05A5B" w:rsidP="00A05A5B">
      <w:pPr>
        <w:spacing w:after="0" w:line="240" w:lineRule="auto"/>
        <w:ind w:left="1418"/>
        <w:jc w:val="both"/>
        <w:rPr>
          <w:rFonts w:ascii="Book Antiqua" w:hAnsi="Book Antiqua"/>
        </w:rPr>
      </w:pPr>
    </w:p>
    <w:p w:rsidR="00A05A5B" w:rsidRPr="007C54BA" w:rsidRDefault="00A05A5B" w:rsidP="00A05A5B">
      <w:pPr>
        <w:spacing w:after="0" w:line="240" w:lineRule="auto"/>
        <w:ind w:left="698"/>
        <w:jc w:val="both"/>
        <w:rPr>
          <w:rFonts w:ascii="Book Antiqua" w:eastAsia="Times New Roman" w:hAnsi="Book Antiqua"/>
          <w:b/>
          <w:bCs/>
          <w:i/>
          <w:iCs/>
          <w:lang w:eastAsia="hu-HU"/>
        </w:rPr>
      </w:pPr>
      <w:r>
        <w:rPr>
          <w:rFonts w:ascii="Book Antiqua" w:eastAsia="Times New Roman" w:hAnsi="Book Antiqua"/>
          <w:b/>
          <w:bCs/>
          <w:i/>
          <w:iCs/>
          <w:lang w:eastAsia="hu-HU"/>
        </w:rPr>
        <w:t>„c</w:t>
      </w:r>
      <w:r w:rsidRPr="007C54BA">
        <w:rPr>
          <w:rFonts w:ascii="Book Antiqua" w:eastAsia="Times New Roman" w:hAnsi="Book Antiqua"/>
          <w:b/>
          <w:bCs/>
          <w:i/>
          <w:iCs/>
          <w:lang w:eastAsia="hu-HU"/>
        </w:rPr>
        <w:t xml:space="preserve">.) Az önkormányzat nettó </w:t>
      </w:r>
      <w:r>
        <w:rPr>
          <w:rFonts w:ascii="Book Antiqua" w:eastAsia="Times New Roman" w:hAnsi="Book Antiqua"/>
          <w:b/>
          <w:bCs/>
          <w:i/>
          <w:iCs/>
          <w:lang w:eastAsia="hu-HU"/>
        </w:rPr>
        <w:t>8</w:t>
      </w:r>
      <w:r w:rsidRPr="007C54BA">
        <w:rPr>
          <w:rFonts w:ascii="Book Antiqua" w:eastAsia="Times New Roman" w:hAnsi="Book Antiqua"/>
          <w:b/>
          <w:bCs/>
          <w:i/>
          <w:iCs/>
          <w:lang w:eastAsia="hu-HU"/>
        </w:rPr>
        <w:t xml:space="preserve">0 </w:t>
      </w:r>
      <w:proofErr w:type="spellStart"/>
      <w:r w:rsidRPr="007C54BA">
        <w:rPr>
          <w:rFonts w:ascii="Book Antiqua" w:eastAsia="Times New Roman" w:hAnsi="Book Antiqua"/>
          <w:b/>
          <w:bCs/>
          <w:i/>
          <w:iCs/>
          <w:lang w:eastAsia="hu-HU"/>
        </w:rPr>
        <w:t>MFt</w:t>
      </w:r>
      <w:proofErr w:type="spellEnd"/>
      <w:r w:rsidRPr="007C54BA">
        <w:rPr>
          <w:rFonts w:ascii="Book Antiqua" w:eastAsia="Times New Roman" w:hAnsi="Book Antiqua"/>
          <w:b/>
          <w:bCs/>
          <w:i/>
          <w:iCs/>
          <w:lang w:eastAsia="hu-HU"/>
        </w:rPr>
        <w:t xml:space="preserve"> értékhatárt meg nem haladó értékű építési beruházása, valamint nettó </w:t>
      </w:r>
      <w:r>
        <w:rPr>
          <w:rFonts w:ascii="Book Antiqua" w:eastAsia="Times New Roman" w:hAnsi="Book Antiqua"/>
          <w:b/>
          <w:bCs/>
          <w:i/>
          <w:iCs/>
          <w:lang w:eastAsia="hu-HU"/>
        </w:rPr>
        <w:t>70</w:t>
      </w:r>
      <w:r w:rsidRPr="007C54BA">
        <w:rPr>
          <w:rFonts w:ascii="Book Antiqua" w:eastAsia="Times New Roman" w:hAnsi="Book Antiqua"/>
          <w:b/>
          <w:bCs/>
          <w:i/>
          <w:iCs/>
          <w:lang w:eastAsia="hu-HU"/>
        </w:rPr>
        <w:t xml:space="preserve"> </w:t>
      </w:r>
      <w:proofErr w:type="spellStart"/>
      <w:r w:rsidRPr="007C54BA">
        <w:rPr>
          <w:rFonts w:ascii="Book Antiqua" w:eastAsia="Times New Roman" w:hAnsi="Book Antiqua"/>
          <w:b/>
          <w:bCs/>
          <w:i/>
          <w:iCs/>
          <w:lang w:eastAsia="hu-HU"/>
        </w:rPr>
        <w:t>MFt-ot</w:t>
      </w:r>
      <w:proofErr w:type="spellEnd"/>
      <w:r w:rsidRPr="007C54BA">
        <w:rPr>
          <w:rFonts w:ascii="Book Antiqua" w:eastAsia="Times New Roman" w:hAnsi="Book Antiqua"/>
          <w:b/>
          <w:bCs/>
          <w:i/>
          <w:iCs/>
          <w:lang w:eastAsia="hu-HU"/>
        </w:rPr>
        <w:t xml:space="preserve"> meg nem haladó árubeszerzés és szolgáltatás megrendelései esetén lefolytatja a közbeszerzési eljárást.</w:t>
      </w:r>
      <w:r>
        <w:rPr>
          <w:rFonts w:ascii="Book Antiqua" w:eastAsia="Times New Roman" w:hAnsi="Book Antiqua"/>
          <w:b/>
          <w:bCs/>
          <w:i/>
          <w:iCs/>
          <w:lang w:eastAsia="hu-HU"/>
        </w:rPr>
        <w:t>”</w:t>
      </w:r>
      <w:r w:rsidRPr="007C54BA">
        <w:rPr>
          <w:rFonts w:ascii="Book Antiqua" w:eastAsia="Times New Roman" w:hAnsi="Book Antiqua"/>
          <w:b/>
          <w:bCs/>
          <w:i/>
          <w:iCs/>
          <w:lang w:eastAsia="hu-HU"/>
        </w:rPr>
        <w:t xml:space="preserve"> </w:t>
      </w:r>
    </w:p>
    <w:p w:rsidR="00A05A5B" w:rsidRDefault="00A05A5B" w:rsidP="00A05A5B">
      <w:pPr>
        <w:spacing w:after="0" w:line="240" w:lineRule="auto"/>
        <w:ind w:left="720"/>
        <w:rPr>
          <w:rFonts w:ascii="Book Antiqua" w:eastAsia="Times New Roman" w:hAnsi="Book Antiqua"/>
          <w:lang w:eastAsia="hu-HU"/>
        </w:rPr>
      </w:pPr>
      <w:bookmarkStart w:id="0" w:name="_GoBack"/>
      <w:bookmarkEnd w:id="0"/>
    </w:p>
    <w:p w:rsidR="00A05A5B" w:rsidRPr="007C54BA" w:rsidRDefault="00A05A5B" w:rsidP="00A05A5B">
      <w:pPr>
        <w:spacing w:after="0" w:line="240" w:lineRule="auto"/>
        <w:ind w:left="720"/>
        <w:rPr>
          <w:rFonts w:ascii="Book Antiqua" w:eastAsia="Times New Roman" w:hAnsi="Book Antiqua"/>
          <w:lang w:eastAsia="hu-HU"/>
        </w:rPr>
      </w:pPr>
    </w:p>
    <w:p w:rsidR="00A05A5B" w:rsidRDefault="00A05A5B" w:rsidP="00A05A5B">
      <w:pPr>
        <w:numPr>
          <w:ilvl w:val="0"/>
          <w:numId w:val="1"/>
        </w:numPr>
        <w:spacing w:after="0" w:line="240" w:lineRule="auto"/>
        <w:rPr>
          <w:rFonts w:ascii="Book Antiqua" w:eastAsia="Times New Roman" w:hAnsi="Book Antiqua"/>
          <w:lang w:eastAsia="hu-HU"/>
        </w:rPr>
      </w:pPr>
      <w:r>
        <w:rPr>
          <w:rFonts w:ascii="Book Antiqua" w:eastAsia="Times New Roman" w:hAnsi="Book Antiqua"/>
          <w:lang w:eastAsia="hu-HU"/>
        </w:rPr>
        <w:t xml:space="preserve">§ (1) Jelen Rendelet a kihirdetését követő napon lép hatályba. </w:t>
      </w:r>
    </w:p>
    <w:p w:rsidR="00A05A5B" w:rsidRPr="007C54BA" w:rsidRDefault="00A05A5B" w:rsidP="00A05A5B">
      <w:pPr>
        <w:spacing w:after="0" w:line="240" w:lineRule="auto"/>
        <w:ind w:firstLine="709"/>
        <w:rPr>
          <w:rFonts w:ascii="Book Antiqua" w:eastAsia="Times New Roman" w:hAnsi="Book Antiqua"/>
          <w:lang w:eastAsia="hu-HU"/>
        </w:rPr>
      </w:pPr>
      <w:r>
        <w:rPr>
          <w:rFonts w:ascii="Book Antiqua" w:eastAsia="Times New Roman" w:hAnsi="Book Antiqua"/>
          <w:lang w:eastAsia="hu-HU"/>
        </w:rPr>
        <w:t xml:space="preserve">   (2) Jelen Rendelet a hatályba </w:t>
      </w:r>
      <w:r w:rsidRPr="007C54BA">
        <w:rPr>
          <w:rFonts w:ascii="Book Antiqua" w:eastAsia="Times New Roman" w:hAnsi="Book Antiqua"/>
          <w:lang w:eastAsia="hu-HU"/>
        </w:rPr>
        <w:t>lépését követő napon hatályát veszíti.</w:t>
      </w:r>
    </w:p>
    <w:p w:rsidR="00A05A5B" w:rsidRPr="007C54BA" w:rsidRDefault="00A05A5B" w:rsidP="00A05A5B">
      <w:pPr>
        <w:spacing w:after="0" w:line="240" w:lineRule="auto"/>
        <w:rPr>
          <w:rFonts w:ascii="Book Antiqua" w:eastAsia="Times New Roman" w:hAnsi="Book Antiqua"/>
          <w:lang w:eastAsia="hu-HU"/>
        </w:rPr>
      </w:pPr>
    </w:p>
    <w:p w:rsidR="00A05A5B" w:rsidRDefault="00A05A5B" w:rsidP="00A05A5B">
      <w:pPr>
        <w:spacing w:after="0" w:line="240" w:lineRule="auto"/>
        <w:ind w:left="720"/>
        <w:rPr>
          <w:rFonts w:ascii="Book Antiqua" w:eastAsia="Times New Roman" w:hAnsi="Book Antiqua"/>
          <w:lang w:eastAsia="hu-HU"/>
        </w:rPr>
      </w:pPr>
    </w:p>
    <w:p w:rsidR="00A05A5B" w:rsidRDefault="00A05A5B" w:rsidP="00A05A5B">
      <w:pPr>
        <w:spacing w:after="0" w:line="240" w:lineRule="auto"/>
        <w:ind w:left="720"/>
        <w:rPr>
          <w:rFonts w:ascii="Book Antiqua" w:eastAsia="Times New Roman" w:hAnsi="Book Antiqua"/>
          <w:lang w:eastAsia="hu-HU"/>
        </w:rPr>
      </w:pPr>
    </w:p>
    <w:p w:rsidR="00A05A5B" w:rsidRPr="007C54BA" w:rsidRDefault="00A05A5B" w:rsidP="00A05A5B">
      <w:pPr>
        <w:spacing w:after="0" w:line="240" w:lineRule="auto"/>
        <w:ind w:left="720"/>
        <w:rPr>
          <w:rFonts w:ascii="Book Antiqua" w:eastAsia="Times New Roman" w:hAnsi="Book Antiqua"/>
          <w:lang w:eastAsia="hu-HU"/>
        </w:rPr>
      </w:pPr>
    </w:p>
    <w:p w:rsidR="00A05A5B" w:rsidRPr="007C54BA" w:rsidRDefault="00A05A5B" w:rsidP="00A05A5B">
      <w:pPr>
        <w:spacing w:after="0" w:line="240" w:lineRule="auto"/>
        <w:rPr>
          <w:rFonts w:ascii="Book Antiqua" w:eastAsia="Times New Roman" w:hAnsi="Book Antiqua"/>
          <w:lang w:eastAsia="hu-HU"/>
        </w:rPr>
      </w:pPr>
      <w:r w:rsidRPr="007C54BA">
        <w:rPr>
          <w:rFonts w:ascii="Book Antiqua" w:eastAsia="Times New Roman" w:hAnsi="Book Antiqua"/>
          <w:lang w:eastAsia="hu-HU"/>
        </w:rPr>
        <w:tab/>
      </w:r>
      <w:r w:rsidRPr="007C54BA">
        <w:rPr>
          <w:rFonts w:ascii="Book Antiqua" w:eastAsia="Times New Roman" w:hAnsi="Book Antiqua"/>
          <w:lang w:eastAsia="hu-HU"/>
        </w:rPr>
        <w:tab/>
      </w:r>
      <w:r w:rsidRPr="007C54BA">
        <w:rPr>
          <w:rFonts w:ascii="Book Antiqua" w:eastAsia="Times New Roman" w:hAnsi="Book Antiqua"/>
          <w:lang w:eastAsia="hu-HU"/>
        </w:rPr>
        <w:tab/>
      </w:r>
      <w:r w:rsidRPr="007C54BA">
        <w:rPr>
          <w:rFonts w:ascii="Book Antiqua" w:eastAsia="Times New Roman" w:hAnsi="Book Antiqua"/>
          <w:lang w:eastAsia="hu-HU"/>
        </w:rPr>
        <w:tab/>
        <w:t>Nagy Bálint</w:t>
      </w:r>
      <w:r w:rsidRPr="007C54BA">
        <w:rPr>
          <w:rFonts w:ascii="Book Antiqua" w:eastAsia="Times New Roman" w:hAnsi="Book Antiqua"/>
          <w:lang w:eastAsia="hu-HU"/>
        </w:rPr>
        <w:tab/>
      </w:r>
      <w:r w:rsidRPr="007C54BA">
        <w:rPr>
          <w:rFonts w:ascii="Book Antiqua" w:eastAsia="Times New Roman" w:hAnsi="Book Antiqua"/>
          <w:lang w:eastAsia="hu-HU"/>
        </w:rPr>
        <w:tab/>
      </w:r>
      <w:r w:rsidRPr="007C54BA">
        <w:rPr>
          <w:rFonts w:ascii="Book Antiqua" w:eastAsia="Times New Roman" w:hAnsi="Book Antiqua"/>
          <w:lang w:eastAsia="hu-HU"/>
        </w:rPr>
        <w:tab/>
      </w:r>
      <w:r w:rsidRPr="007C54BA">
        <w:rPr>
          <w:rFonts w:ascii="Book Antiqua" w:eastAsia="Times New Roman" w:hAnsi="Book Antiqua"/>
          <w:lang w:eastAsia="hu-HU"/>
        </w:rPr>
        <w:tab/>
        <w:t>Dr. Gábor Hajnalka</w:t>
      </w:r>
    </w:p>
    <w:p w:rsidR="00A05A5B" w:rsidRPr="007C54BA" w:rsidRDefault="00A05A5B" w:rsidP="00A05A5B">
      <w:pPr>
        <w:spacing w:after="0" w:line="240" w:lineRule="auto"/>
        <w:rPr>
          <w:rFonts w:ascii="Book Antiqua" w:eastAsia="Times New Roman" w:hAnsi="Book Antiqua"/>
          <w:lang w:eastAsia="hu-HU"/>
        </w:rPr>
      </w:pPr>
      <w:r w:rsidRPr="007C54BA">
        <w:rPr>
          <w:rFonts w:ascii="Book Antiqua" w:eastAsia="Times New Roman" w:hAnsi="Book Antiqua"/>
          <w:lang w:eastAsia="hu-HU"/>
        </w:rPr>
        <w:tab/>
      </w:r>
      <w:r w:rsidRPr="007C54BA">
        <w:rPr>
          <w:rFonts w:ascii="Book Antiqua" w:eastAsia="Times New Roman" w:hAnsi="Book Antiqua"/>
          <w:lang w:eastAsia="hu-HU"/>
        </w:rPr>
        <w:tab/>
      </w:r>
      <w:r w:rsidRPr="007C54BA">
        <w:rPr>
          <w:rFonts w:ascii="Book Antiqua" w:eastAsia="Times New Roman" w:hAnsi="Book Antiqua"/>
          <w:lang w:eastAsia="hu-HU"/>
        </w:rPr>
        <w:tab/>
      </w:r>
      <w:r w:rsidRPr="007C54BA">
        <w:rPr>
          <w:rFonts w:ascii="Book Antiqua" w:eastAsia="Times New Roman" w:hAnsi="Book Antiqua"/>
          <w:lang w:eastAsia="hu-HU"/>
        </w:rPr>
        <w:tab/>
      </w:r>
      <w:proofErr w:type="gramStart"/>
      <w:r w:rsidRPr="007C54BA">
        <w:rPr>
          <w:rFonts w:ascii="Book Antiqua" w:eastAsia="Times New Roman" w:hAnsi="Book Antiqua"/>
          <w:lang w:eastAsia="hu-HU"/>
        </w:rPr>
        <w:t>polgármester</w:t>
      </w:r>
      <w:proofErr w:type="gramEnd"/>
      <w:r w:rsidRPr="007C54BA">
        <w:rPr>
          <w:rFonts w:ascii="Book Antiqua" w:eastAsia="Times New Roman" w:hAnsi="Book Antiqua"/>
          <w:lang w:eastAsia="hu-HU"/>
        </w:rPr>
        <w:tab/>
      </w:r>
      <w:r w:rsidRPr="007C54BA">
        <w:rPr>
          <w:rFonts w:ascii="Book Antiqua" w:eastAsia="Times New Roman" w:hAnsi="Book Antiqua"/>
          <w:lang w:eastAsia="hu-HU"/>
        </w:rPr>
        <w:tab/>
      </w:r>
      <w:r w:rsidRPr="007C54BA">
        <w:rPr>
          <w:rFonts w:ascii="Book Antiqua" w:eastAsia="Times New Roman" w:hAnsi="Book Antiqua"/>
          <w:lang w:eastAsia="hu-HU"/>
        </w:rPr>
        <w:tab/>
      </w:r>
      <w:r w:rsidRPr="007C54BA">
        <w:rPr>
          <w:rFonts w:ascii="Book Antiqua" w:eastAsia="Times New Roman" w:hAnsi="Book Antiqua"/>
          <w:lang w:eastAsia="hu-HU"/>
        </w:rPr>
        <w:tab/>
      </w:r>
      <w:r w:rsidRPr="007C54BA">
        <w:rPr>
          <w:rFonts w:ascii="Book Antiqua" w:eastAsia="Times New Roman" w:hAnsi="Book Antiqua"/>
          <w:lang w:eastAsia="hu-HU"/>
        </w:rPr>
        <w:tab/>
        <w:t>jegyző</w:t>
      </w:r>
    </w:p>
    <w:p w:rsidR="004208A3" w:rsidRDefault="004208A3"/>
    <w:sectPr w:rsidR="00420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72F6C"/>
    <w:multiLevelType w:val="hybridMultilevel"/>
    <w:tmpl w:val="79D094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5B"/>
    <w:rsid w:val="004208A3"/>
    <w:rsid w:val="00A05A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66E6E-AC56-4278-BFF6-840E443B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imes New Roman"/>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05A5B"/>
    <w:pPr>
      <w:spacing w:after="200" w:line="276" w:lineRule="auto"/>
    </w:pPr>
    <w:rPr>
      <w:rFonts w:ascii="Calibri" w:eastAsia="Calibri" w:hAnsi="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1130</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Ibolya</dc:creator>
  <cp:keywords/>
  <dc:description/>
  <cp:lastModifiedBy>Tóth Ibolya</cp:lastModifiedBy>
  <cp:revision>1</cp:revision>
  <dcterms:created xsi:type="dcterms:W3CDTF">2020-10-27T13:01:00Z</dcterms:created>
  <dcterms:modified xsi:type="dcterms:W3CDTF">2020-10-27T13:03:00Z</dcterms:modified>
</cp:coreProperties>
</file>