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B8" w:rsidRPr="00BF68B8" w:rsidRDefault="00127967" w:rsidP="00BF68B8">
      <w:pPr>
        <w:autoSpaceDE w:val="0"/>
        <w:autoSpaceDN w:val="0"/>
        <w:adjustRightInd w:val="0"/>
        <w:spacing w:after="0" w:line="240" w:lineRule="auto"/>
        <w:ind w:left="900" w:right="-164"/>
        <w:jc w:val="center"/>
        <w:rPr>
          <w:rFonts w:ascii="Book Antiqua" w:eastAsia="Times New Roman" w:hAnsi="Book Antiqua" w:cs="Book Antiqua"/>
          <w:b/>
          <w:bCs/>
          <w:sz w:val="28"/>
          <w:szCs w:val="28"/>
          <w:lang w:eastAsia="hu-HU"/>
        </w:rPr>
      </w:pPr>
      <w:r>
        <w:rPr>
          <w:rFonts w:ascii="Book Antiqua" w:eastAsia="Times New Roman" w:hAnsi="Book Antiqua" w:cs="Book Antiqua"/>
          <w:sz w:val="28"/>
          <w:szCs w:val="28"/>
          <w:lang w:eastAsia="hu-HU"/>
        </w:rPr>
        <w:t>2</w:t>
      </w:r>
      <w:bookmarkStart w:id="0" w:name="_GoBack"/>
      <w:bookmarkEnd w:id="0"/>
      <w:r w:rsidR="00BF68B8" w:rsidRPr="00BF68B8">
        <w:rPr>
          <w:rFonts w:ascii="Book Antiqua" w:eastAsia="Times New Roman" w:hAnsi="Book Antiqua" w:cs="Book Antiqua"/>
          <w:b/>
          <w:bCs/>
          <w:sz w:val="28"/>
          <w:szCs w:val="28"/>
          <w:lang w:eastAsia="hu-HU"/>
        </w:rPr>
        <w:t>. melléklet</w:t>
      </w:r>
    </w:p>
    <w:p w:rsidR="00BF68B8" w:rsidRPr="00BF68B8" w:rsidRDefault="00BF68B8" w:rsidP="00BF68B8">
      <w:pPr>
        <w:tabs>
          <w:tab w:val="center" w:pos="4536"/>
          <w:tab w:val="right" w:pos="907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BF68B8" w:rsidRPr="00BF68B8" w:rsidRDefault="00BF68B8" w:rsidP="00BF68B8">
      <w:pPr>
        <w:tabs>
          <w:tab w:val="center" w:pos="4536"/>
          <w:tab w:val="right" w:pos="9072"/>
        </w:tabs>
        <w:spacing w:after="0" w:line="240" w:lineRule="auto"/>
        <w:ind w:left="1080"/>
        <w:jc w:val="center"/>
        <w:rPr>
          <w:rFonts w:ascii="Book Antiqua" w:eastAsia="Times New Roman" w:hAnsi="Book Antiqua" w:cs="Book Antiqua"/>
          <w:b/>
          <w:bCs/>
          <w:sz w:val="28"/>
          <w:szCs w:val="28"/>
          <w:u w:val="single"/>
          <w:lang w:eastAsia="hu-HU"/>
        </w:rPr>
      </w:pPr>
      <w:r w:rsidRPr="00BF68B8">
        <w:rPr>
          <w:rFonts w:ascii="Book Antiqua" w:eastAsia="Times New Roman" w:hAnsi="Book Antiqua" w:cs="Book Antiqua"/>
          <w:b/>
          <w:bCs/>
          <w:sz w:val="28"/>
          <w:szCs w:val="28"/>
          <w:u w:val="single"/>
          <w:lang w:eastAsia="hu-HU"/>
        </w:rPr>
        <w:t>A 10/2019.(X.25.) rendelethez</w:t>
      </w:r>
    </w:p>
    <w:p w:rsidR="00BF68B8" w:rsidRPr="00BF68B8" w:rsidRDefault="00BF68B8" w:rsidP="00BF68B8">
      <w:pPr>
        <w:tabs>
          <w:tab w:val="left" w:pos="9063"/>
        </w:tabs>
        <w:autoSpaceDE w:val="0"/>
        <w:autoSpaceDN w:val="0"/>
        <w:adjustRightInd w:val="0"/>
        <w:spacing w:after="0" w:line="240" w:lineRule="auto"/>
        <w:ind w:left="-142" w:right="349"/>
        <w:jc w:val="center"/>
        <w:rPr>
          <w:rFonts w:ascii="Book Antiqua" w:eastAsia="Times New Roman" w:hAnsi="Book Antiqua" w:cs="Book Antiqua"/>
          <w:b/>
          <w:bCs/>
          <w:sz w:val="28"/>
          <w:szCs w:val="28"/>
          <w:u w:val="single"/>
          <w:lang w:eastAsia="hu-HU"/>
        </w:rPr>
      </w:pPr>
    </w:p>
    <w:p w:rsidR="00BF68B8" w:rsidRPr="00BF68B8" w:rsidRDefault="00BF68B8" w:rsidP="00BF68B8">
      <w:pPr>
        <w:tabs>
          <w:tab w:val="left" w:pos="9063"/>
        </w:tabs>
        <w:autoSpaceDE w:val="0"/>
        <w:autoSpaceDN w:val="0"/>
        <w:adjustRightInd w:val="0"/>
        <w:spacing w:after="0" w:line="240" w:lineRule="auto"/>
        <w:ind w:left="-142" w:right="349"/>
        <w:jc w:val="center"/>
        <w:rPr>
          <w:rFonts w:ascii="Book Antiqua" w:eastAsia="Times New Roman" w:hAnsi="Book Antiqua" w:cs="Book Antiqua"/>
          <w:b/>
          <w:bCs/>
          <w:sz w:val="28"/>
          <w:szCs w:val="28"/>
          <w:u w:val="single"/>
          <w:lang w:eastAsia="hu-HU"/>
        </w:rPr>
      </w:pPr>
      <w:r w:rsidRPr="00BF68B8">
        <w:rPr>
          <w:rFonts w:ascii="Book Antiqua" w:eastAsia="Times New Roman" w:hAnsi="Book Antiqua" w:cs="Book Antiqua"/>
          <w:b/>
          <w:bCs/>
          <w:sz w:val="28"/>
          <w:szCs w:val="28"/>
          <w:u w:val="single"/>
          <w:lang w:eastAsia="hu-HU"/>
        </w:rPr>
        <w:t>Az önkormányzat képviselőtestülete által átruházott hatáskörök</w:t>
      </w:r>
    </w:p>
    <w:p w:rsidR="00BF68B8" w:rsidRPr="00BF68B8" w:rsidRDefault="00BF68B8" w:rsidP="00BF68B8">
      <w:pPr>
        <w:tabs>
          <w:tab w:val="left" w:pos="9063"/>
        </w:tabs>
        <w:autoSpaceDE w:val="0"/>
        <w:autoSpaceDN w:val="0"/>
        <w:adjustRightInd w:val="0"/>
        <w:spacing w:after="0" w:line="240" w:lineRule="auto"/>
        <w:ind w:left="-142" w:right="349"/>
        <w:jc w:val="center"/>
        <w:rPr>
          <w:rFonts w:ascii="Book Antiqua" w:eastAsia="Times New Roman" w:hAnsi="Book Antiqua" w:cs="Book Antiqua"/>
          <w:b/>
          <w:bCs/>
          <w:sz w:val="28"/>
          <w:szCs w:val="28"/>
          <w:u w:val="single"/>
          <w:lang w:eastAsia="hu-HU"/>
        </w:rPr>
      </w:pPr>
    </w:p>
    <w:p w:rsidR="00BF68B8" w:rsidRPr="00BF68B8" w:rsidRDefault="00BF68B8" w:rsidP="00BF68B8">
      <w:pPr>
        <w:tabs>
          <w:tab w:val="left" w:pos="9063"/>
        </w:tabs>
        <w:autoSpaceDE w:val="0"/>
        <w:autoSpaceDN w:val="0"/>
        <w:adjustRightInd w:val="0"/>
        <w:spacing w:after="0" w:line="240" w:lineRule="auto"/>
        <w:ind w:left="-142" w:right="349"/>
        <w:jc w:val="both"/>
        <w:rPr>
          <w:rFonts w:ascii="Book Antiqua" w:eastAsia="Times New Roman" w:hAnsi="Book Antiqua" w:cs="Book Antiqua"/>
          <w:b/>
          <w:bCs/>
          <w:sz w:val="24"/>
          <w:szCs w:val="24"/>
          <w:u w:val="single"/>
          <w:lang w:eastAsia="hu-HU"/>
        </w:rPr>
      </w:pPr>
      <w:r w:rsidRPr="00BF68B8">
        <w:rPr>
          <w:rFonts w:ascii="Book Antiqua" w:eastAsia="Times New Roman" w:hAnsi="Book Antiqua" w:cs="Book Antiqua"/>
          <w:b/>
          <w:bCs/>
          <w:sz w:val="24"/>
          <w:szCs w:val="24"/>
          <w:u w:val="single"/>
          <w:lang w:eastAsia="hu-HU"/>
        </w:rPr>
        <w:t>I.</w:t>
      </w:r>
      <w:proofErr w:type="gramStart"/>
      <w:r w:rsidRPr="00BF68B8">
        <w:rPr>
          <w:rFonts w:ascii="Book Antiqua" w:eastAsia="Times New Roman" w:hAnsi="Book Antiqua" w:cs="Book Antiqua"/>
          <w:b/>
          <w:bCs/>
          <w:sz w:val="24"/>
          <w:szCs w:val="24"/>
          <w:u w:val="single"/>
          <w:lang w:eastAsia="hu-HU"/>
        </w:rPr>
        <w:t>A</w:t>
      </w:r>
      <w:proofErr w:type="gramEnd"/>
      <w:r w:rsidRPr="00BF68B8">
        <w:rPr>
          <w:rFonts w:ascii="Book Antiqua" w:eastAsia="Times New Roman" w:hAnsi="Book Antiqua" w:cs="Book Antiqua"/>
          <w:b/>
          <w:bCs/>
          <w:sz w:val="24"/>
          <w:szCs w:val="24"/>
          <w:u w:val="single"/>
          <w:lang w:eastAsia="hu-HU"/>
        </w:rPr>
        <w:t xml:space="preserve"> polgármesterre átruházott hatáskörök</w:t>
      </w:r>
    </w:p>
    <w:p w:rsidR="00BF68B8" w:rsidRPr="00BF68B8" w:rsidRDefault="00BF68B8" w:rsidP="00BF68B8">
      <w:pPr>
        <w:tabs>
          <w:tab w:val="left" w:pos="9063"/>
        </w:tabs>
        <w:autoSpaceDE w:val="0"/>
        <w:autoSpaceDN w:val="0"/>
        <w:adjustRightInd w:val="0"/>
        <w:spacing w:after="0" w:line="240" w:lineRule="auto"/>
        <w:ind w:left="-142" w:right="349"/>
        <w:jc w:val="both"/>
        <w:rPr>
          <w:rFonts w:ascii="Book Antiqua" w:eastAsia="Times New Roman" w:hAnsi="Book Antiqua" w:cs="Book Antiqua"/>
          <w:sz w:val="24"/>
          <w:szCs w:val="24"/>
          <w:u w:val="single"/>
          <w:lang w:eastAsia="hu-HU"/>
        </w:rPr>
      </w:pPr>
    </w:p>
    <w:p w:rsidR="00BF68B8" w:rsidRPr="00BF68B8" w:rsidRDefault="00BF68B8" w:rsidP="00BF68B8">
      <w:pPr>
        <w:tabs>
          <w:tab w:val="left" w:pos="9063"/>
        </w:tabs>
        <w:autoSpaceDE w:val="0"/>
        <w:autoSpaceDN w:val="0"/>
        <w:adjustRightInd w:val="0"/>
        <w:spacing w:after="0" w:line="240" w:lineRule="auto"/>
        <w:ind w:left="-142" w:right="349"/>
        <w:jc w:val="both"/>
        <w:rPr>
          <w:rFonts w:ascii="Book Antiqua" w:eastAsia="Times New Roman" w:hAnsi="Book Antiqua" w:cs="Book Antiqua"/>
          <w:sz w:val="24"/>
          <w:szCs w:val="24"/>
          <w:lang w:eastAsia="hu-HU"/>
        </w:rPr>
      </w:pPr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 xml:space="preserve">1./Az éves költségvetési </w:t>
      </w:r>
      <w:proofErr w:type="gramStart"/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>rendeletben  meghatározott</w:t>
      </w:r>
      <w:proofErr w:type="gramEnd"/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 xml:space="preserve">  összeghatár alatti vagyonügyletek,  és a tartalék terhére történő előirányzat átcsoportosítása,</w:t>
      </w:r>
    </w:p>
    <w:p w:rsidR="00BF68B8" w:rsidRPr="00BF68B8" w:rsidRDefault="00BF68B8" w:rsidP="00BF68B8">
      <w:pPr>
        <w:tabs>
          <w:tab w:val="center" w:pos="4536"/>
          <w:tab w:val="right" w:pos="907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68B8" w:rsidRPr="00BF68B8" w:rsidRDefault="00BF68B8" w:rsidP="00BF68B8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>2.</w:t>
      </w:r>
      <w:proofErr w:type="gramStart"/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 xml:space="preserve">/ </w:t>
      </w:r>
      <w:r w:rsidRPr="00BF68B8">
        <w:rPr>
          <w:rFonts w:ascii="Book Antiqua" w:eastAsia="Times New Roman" w:hAnsi="Book Antiqua" w:cs="Book Antiqua"/>
          <w:b/>
          <w:bCs/>
          <w:sz w:val="24"/>
          <w:szCs w:val="24"/>
          <w:lang w:eastAsia="hu-HU"/>
        </w:rPr>
        <w:t xml:space="preserve"> szociális</w:t>
      </w:r>
      <w:proofErr w:type="gramEnd"/>
      <w:r w:rsidRPr="00BF68B8">
        <w:rPr>
          <w:rFonts w:ascii="Book Antiqua" w:eastAsia="Times New Roman" w:hAnsi="Book Antiqua" w:cs="Book Antiqua"/>
          <w:b/>
          <w:bCs/>
          <w:sz w:val="24"/>
          <w:szCs w:val="24"/>
          <w:lang w:eastAsia="hu-HU"/>
        </w:rPr>
        <w:t xml:space="preserve"> ellátásokról szóló rendeletben meghatározott átruházott hatáskörök  </w:t>
      </w:r>
    </w:p>
    <w:p w:rsidR="00BF68B8" w:rsidRPr="00BF68B8" w:rsidRDefault="00BF68B8" w:rsidP="00BF68B8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68B8" w:rsidRPr="00BF68B8" w:rsidRDefault="00BF68B8" w:rsidP="00BF68B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ook Antiqua" w:eastAsia="Times New Roman" w:hAnsi="Book Antiqua" w:cs="Book Antiqua"/>
          <w:sz w:val="24"/>
          <w:szCs w:val="24"/>
          <w:lang w:eastAsia="hu-HU"/>
        </w:rPr>
      </w:pPr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>3./</w:t>
      </w:r>
      <w:proofErr w:type="gramStart"/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>Kurd  Községi</w:t>
      </w:r>
      <w:proofErr w:type="gramEnd"/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 xml:space="preserve">  Önkormányzat vagyonáról, és vagyongazdálkodásának szabályairól szóló   8/2013. (IX.01.</w:t>
      </w:r>
      <w:proofErr w:type="gramStart"/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>)  számú</w:t>
      </w:r>
      <w:proofErr w:type="gramEnd"/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 xml:space="preserve"> rendelet 4.§.(4) bekezdésében foglalt  hatáskörök, </w:t>
      </w:r>
    </w:p>
    <w:p w:rsidR="00BF68B8" w:rsidRPr="00BF68B8" w:rsidRDefault="00BF68B8" w:rsidP="00BF68B8">
      <w:pPr>
        <w:spacing w:after="0" w:line="240" w:lineRule="auto"/>
        <w:ind w:left="-142"/>
        <w:jc w:val="both"/>
        <w:rPr>
          <w:rFonts w:ascii="Book Antiqua" w:eastAsia="Times New Roman" w:hAnsi="Book Antiqua" w:cs="Book Antiqua"/>
          <w:sz w:val="24"/>
          <w:szCs w:val="24"/>
          <w:lang w:eastAsia="hu-HU"/>
        </w:rPr>
      </w:pPr>
    </w:p>
    <w:p w:rsidR="00BF68B8" w:rsidRPr="00BF68B8" w:rsidRDefault="00BF68B8" w:rsidP="00BF68B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68B8">
        <w:rPr>
          <w:rFonts w:ascii="Book Antiqua" w:eastAsia="Times New Roman" w:hAnsi="Book Antiqua" w:cs="Book Antiqua"/>
          <w:b/>
          <w:sz w:val="24"/>
          <w:szCs w:val="24"/>
          <w:u w:val="single"/>
          <w:lang w:eastAsia="hu-HU"/>
        </w:rPr>
        <w:t xml:space="preserve">II. Igazgatási és </w:t>
      </w:r>
      <w:proofErr w:type="gramStart"/>
      <w:r w:rsidRPr="00BF68B8">
        <w:rPr>
          <w:rFonts w:ascii="Book Antiqua" w:eastAsia="Times New Roman" w:hAnsi="Book Antiqua" w:cs="Book Antiqua"/>
          <w:b/>
          <w:sz w:val="24"/>
          <w:szCs w:val="24"/>
          <w:u w:val="single"/>
          <w:lang w:eastAsia="hu-HU"/>
        </w:rPr>
        <w:t>Ügyrendi  bizottságra</w:t>
      </w:r>
      <w:proofErr w:type="gramEnd"/>
      <w:r w:rsidRPr="00BF68B8">
        <w:rPr>
          <w:rFonts w:ascii="Book Antiqua" w:eastAsia="Times New Roman" w:hAnsi="Book Antiqua" w:cs="Book Antiqua"/>
          <w:b/>
          <w:sz w:val="24"/>
          <w:szCs w:val="24"/>
          <w:u w:val="single"/>
          <w:lang w:eastAsia="hu-HU"/>
        </w:rPr>
        <w:t xml:space="preserve"> átruházott hatáskör</w:t>
      </w:r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 xml:space="preserve">:  </w:t>
      </w:r>
      <w:proofErr w:type="spellStart"/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>Bursa</w:t>
      </w:r>
      <w:proofErr w:type="spellEnd"/>
      <w:r w:rsidRPr="00BF68B8">
        <w:rPr>
          <w:rFonts w:ascii="Book Antiqua" w:eastAsia="Times New Roman" w:hAnsi="Book Antiqua" w:cs="Book Antiqua"/>
          <w:sz w:val="24"/>
          <w:szCs w:val="24"/>
          <w:lang w:eastAsia="hu-HU"/>
        </w:rPr>
        <w:t xml:space="preserve"> Hungarica pályázatok   elbírálása.  </w:t>
      </w:r>
    </w:p>
    <w:p w:rsidR="00BF68B8" w:rsidRPr="00BF68B8" w:rsidRDefault="00BF68B8" w:rsidP="00BF68B8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B440B" w:rsidRDefault="005B440B"/>
    <w:sectPr w:rsidR="005B440B" w:rsidSect="003F316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B8"/>
    <w:rsid w:val="00127967"/>
    <w:rsid w:val="005B440B"/>
    <w:rsid w:val="00B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86E9"/>
  <w15:chartTrackingRefBased/>
  <w15:docId w15:val="{05A85B74-CCE8-42A4-8FB8-BB06A07A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2019-11-07T13:51:00Z</dcterms:created>
  <dcterms:modified xsi:type="dcterms:W3CDTF">2019-11-21T11:36:00Z</dcterms:modified>
</cp:coreProperties>
</file>