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EC" w:rsidRPr="00D66B43" w:rsidRDefault="00AB53EC" w:rsidP="00AB53EC">
      <w:pPr>
        <w:jc w:val="right"/>
        <w:rPr>
          <w:i/>
          <w:iCs/>
        </w:rPr>
      </w:pPr>
      <w:r w:rsidRPr="00D66B43">
        <w:rPr>
          <w:i/>
          <w:iCs/>
        </w:rPr>
        <w:t>Függelék az 1/2007. (II. 20.)</w:t>
      </w:r>
      <w:r>
        <w:rPr>
          <w:i/>
          <w:iCs/>
        </w:rPr>
        <w:t xml:space="preserve"> </w:t>
      </w:r>
      <w:r w:rsidRPr="00D66B43">
        <w:rPr>
          <w:i/>
          <w:iCs/>
        </w:rPr>
        <w:t>önkormányzati rendelethez</w:t>
      </w:r>
    </w:p>
    <w:p w:rsidR="00AB53EC" w:rsidRPr="000A32A4" w:rsidRDefault="00AB53EC" w:rsidP="00AB53EC">
      <w:pPr>
        <w:rPr>
          <w:b/>
          <w:i/>
          <w:iCs/>
        </w:rPr>
      </w:pPr>
    </w:p>
    <w:p w:rsidR="00AB53EC" w:rsidRPr="004119A5" w:rsidRDefault="00AB53EC" w:rsidP="00AB53EC">
      <w:pPr>
        <w:numPr>
          <w:ilvl w:val="0"/>
          <w:numId w:val="2"/>
        </w:numPr>
        <w:spacing w:after="200" w:line="276" w:lineRule="auto"/>
        <w:jc w:val="center"/>
      </w:pPr>
      <w:r w:rsidRPr="004119A5">
        <w:rPr>
          <w:b/>
          <w:i/>
          <w:iCs/>
        </w:rPr>
        <w:t xml:space="preserve">A település műemlékei  </w:t>
      </w:r>
    </w:p>
    <w:p w:rsidR="00AB53EC" w:rsidRPr="004119A5" w:rsidRDefault="00AB53EC" w:rsidP="00AB53EC">
      <w:pPr>
        <w:pStyle w:val="Szvegtrzsbehzssal"/>
        <w:numPr>
          <w:ilvl w:val="1"/>
          <w:numId w:val="1"/>
        </w:numPr>
        <w:tabs>
          <w:tab w:val="clear" w:pos="1440"/>
          <w:tab w:val="num" w:pos="360"/>
          <w:tab w:val="left" w:pos="3780"/>
        </w:tabs>
        <w:ind w:left="360"/>
      </w:pPr>
      <w:r w:rsidRPr="004119A5">
        <w:t xml:space="preserve"> Római katolikus templom, </w:t>
      </w:r>
      <w:r>
        <w:t>Hősök tere 13.</w:t>
      </w:r>
      <w:r w:rsidRPr="004119A5">
        <w:t xml:space="preserve">, 992 </w:t>
      </w:r>
      <w:proofErr w:type="spellStart"/>
      <w:r w:rsidRPr="004119A5">
        <w:t>hrsz</w:t>
      </w:r>
      <w:proofErr w:type="spellEnd"/>
      <w:r w:rsidRPr="004119A5">
        <w:t>. törzsszám: M III 4239</w:t>
      </w:r>
    </w:p>
    <w:p w:rsidR="00AB53EC" w:rsidRDefault="00AB53EC" w:rsidP="00AB53EC">
      <w:pPr>
        <w:autoSpaceDE w:val="0"/>
        <w:autoSpaceDN w:val="0"/>
        <w:adjustRightInd w:val="0"/>
      </w:pPr>
      <w:r w:rsidRPr="004119A5">
        <w:t xml:space="preserve">Műemléki környezethez tartozó ingatlanok: 90; 91/1; 92/1; 980/1-2; 981; 982/1, 987/3, 988, 989/1-2; 987/1-2; 990/1, 990/2, 991; 993; 1109; 1110 </w:t>
      </w:r>
      <w:proofErr w:type="spellStart"/>
      <w:r w:rsidRPr="004119A5">
        <w:t>hrsz</w:t>
      </w:r>
      <w:proofErr w:type="spellEnd"/>
      <w:r w:rsidRPr="004119A5">
        <w:t>.</w:t>
      </w:r>
    </w:p>
    <w:p w:rsidR="00AB53EC" w:rsidRPr="004119A5" w:rsidRDefault="00AB53EC" w:rsidP="00AB53EC">
      <w:pPr>
        <w:autoSpaceDE w:val="0"/>
        <w:autoSpaceDN w:val="0"/>
        <w:adjustRightInd w:val="0"/>
      </w:pPr>
    </w:p>
    <w:p w:rsidR="00AB53EC" w:rsidRPr="004119A5" w:rsidRDefault="00AB53EC" w:rsidP="00AB53EC">
      <w:pPr>
        <w:numPr>
          <w:ilvl w:val="0"/>
          <w:numId w:val="2"/>
        </w:numPr>
        <w:spacing w:after="200" w:line="276" w:lineRule="auto"/>
        <w:jc w:val="center"/>
        <w:rPr>
          <w:b/>
          <w:i/>
          <w:iCs/>
        </w:rPr>
      </w:pPr>
      <w:r w:rsidRPr="004119A5">
        <w:rPr>
          <w:b/>
          <w:i/>
          <w:iCs/>
        </w:rPr>
        <w:t xml:space="preserve">A település ismert régészeti lelőhelyei 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8"/>
      </w:pPr>
      <w:r w:rsidRPr="004119A5">
        <w:t>Neolit telep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 xml:space="preserve">.: 034/24, 034/25, 034/26, 034/34, 034/35, 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9"/>
      </w:pPr>
      <w:r w:rsidRPr="004119A5">
        <w:t>Középkori település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>.: 034/ 5, 034/10, 034/20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9"/>
      </w:pPr>
      <w:r w:rsidRPr="004119A5">
        <w:t>Középkori település és templom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>.: 987/1, 987/2, 988, 991, 992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9"/>
      </w:pPr>
      <w:r w:rsidRPr="004119A5">
        <w:t>Neolit telep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>.: 0216/1, 0216/2, 0216/3, 0219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9"/>
      </w:pPr>
      <w:r w:rsidRPr="004119A5">
        <w:t>Őskori telep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>.: 0230/1, 0230/2, 0230/3, 0230/4, 0230/5, 0252/5, 0253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9"/>
      </w:pPr>
      <w:r w:rsidRPr="004119A5">
        <w:t>Őskori telep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>.: 0235, 0237, 0238/2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9"/>
      </w:pPr>
      <w:r w:rsidRPr="004119A5">
        <w:t>Őskori telep, középkori település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>.: 0233/3, 0235, 0237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8"/>
      </w:pPr>
      <w:r w:rsidRPr="004119A5">
        <w:t xml:space="preserve">Koravaskori </w:t>
      </w:r>
      <w:proofErr w:type="spellStart"/>
      <w:r w:rsidRPr="004119A5">
        <w:t>hamvasztásos</w:t>
      </w:r>
      <w:proofErr w:type="spellEnd"/>
      <w:r w:rsidRPr="004119A5">
        <w:t xml:space="preserve"> sír</w:t>
      </w:r>
    </w:p>
    <w:p w:rsidR="00AB53EC" w:rsidRPr="004119A5" w:rsidRDefault="00AB53EC" w:rsidP="00AB53EC">
      <w:pPr>
        <w:ind w:left="708"/>
      </w:pPr>
      <w:proofErr w:type="spellStart"/>
      <w:r w:rsidRPr="004119A5">
        <w:t>Hrsz</w:t>
      </w:r>
      <w:proofErr w:type="spellEnd"/>
      <w:r w:rsidRPr="004119A5">
        <w:t>.: 0204, 0205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9"/>
      </w:pPr>
      <w:r w:rsidRPr="004119A5">
        <w:t>Középső bronzkori telep</w:t>
      </w:r>
    </w:p>
    <w:p w:rsidR="00AB53EC" w:rsidRPr="004119A5" w:rsidRDefault="00AB53EC" w:rsidP="00AB53EC">
      <w:pPr>
        <w:ind w:left="720"/>
      </w:pPr>
      <w:proofErr w:type="spellStart"/>
      <w:r w:rsidRPr="004119A5">
        <w:t>Hrsz</w:t>
      </w:r>
      <w:proofErr w:type="spellEnd"/>
      <w:r w:rsidRPr="004119A5">
        <w:t>.: 0180, 0203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8"/>
      </w:pPr>
      <w:r w:rsidRPr="004119A5">
        <w:t>Középkori Huszt falu, templom, temető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8"/>
      </w:pPr>
      <w:proofErr w:type="spellStart"/>
      <w:r w:rsidRPr="004119A5">
        <w:t>Hrsz</w:t>
      </w:r>
      <w:proofErr w:type="spellEnd"/>
      <w:r w:rsidRPr="004119A5">
        <w:t>.: 050/6, 051, 067/2, 067/4, 067/10, 072/9, 072/11, 072/14, 072/15, 072/16, 072/17,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Őskori és Árpád-kori telep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079/23, 079/25, 079/36, 0112/11, 0112/12, 0112/13, 0112/40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ind w:left="708"/>
      </w:pPr>
      <w:r w:rsidRPr="004119A5">
        <w:t>Avar temető</w:t>
      </w:r>
    </w:p>
    <w:p w:rsidR="00AB53EC" w:rsidRDefault="00AB53EC" w:rsidP="00AB53EC">
      <w:pPr>
        <w:ind w:left="709"/>
      </w:pPr>
      <w:proofErr w:type="spellStart"/>
      <w:r w:rsidRPr="004119A5">
        <w:t>Hrsz</w:t>
      </w:r>
      <w:proofErr w:type="spellEnd"/>
      <w:r w:rsidRPr="004119A5">
        <w:t>.: 0122/1, 0122/2, 0175/21, 0175/22, 0175/28</w:t>
      </w:r>
    </w:p>
    <w:p w:rsidR="00AB53EC" w:rsidRDefault="00AB53EC" w:rsidP="00AB53EC">
      <w:pPr>
        <w:ind w:left="709"/>
      </w:pPr>
    </w:p>
    <w:p w:rsidR="00AB53EC" w:rsidRPr="004119A5" w:rsidRDefault="00AB53EC" w:rsidP="00AB53EC">
      <w:pPr>
        <w:ind w:left="709"/>
      </w:pP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8"/>
      </w:pPr>
      <w:r w:rsidRPr="004119A5">
        <w:lastRenderedPageBreak/>
        <w:t xml:space="preserve">Középső bronzkori telep 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0191, 0194/18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r w:rsidRPr="004119A5">
        <w:t xml:space="preserve">Középső bronzkori telep 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0194/17, 0202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Kora bronzkori és középső bronzkori telep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0194/17, 0202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Római kori település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093/1, 095/4, 095/5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Római és középkori település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0140/11, 0140/14, 0140/15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Római kori telep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0151/8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Őskori telep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050/5, 051, 0112/4, 0112/5, 0112/7, 0112/13, 0112/16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Római település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0134/4, 0134/5, 0135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Középkori Nyilas falu, Árpád-kori templom, temető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0221/1,0221/4, 0222/3, 0222/4, 0222/5, 0222/6, 0222/7, 0222/8, 0222/9, 0224, 0225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 xml:space="preserve">Kelta </w:t>
      </w:r>
      <w:proofErr w:type="spellStart"/>
      <w:r w:rsidRPr="004119A5">
        <w:t>hamvasztásos</w:t>
      </w:r>
      <w:proofErr w:type="spellEnd"/>
      <w:r w:rsidRPr="004119A5">
        <w:t xml:space="preserve"> urnasír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0164/1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Őskori telep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0159/3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Őskori telep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0159/3, 0162/4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Őskori telep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0184/4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Római kori település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0222/3, 0223, 0224, 0225, 0287/4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Középkori Nyilas falu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0258/1, 0258/2, 0258/3, 0258/6, 0259/1, 0259/2</w:t>
      </w:r>
    </w:p>
    <w:p w:rsidR="00AB53EC" w:rsidRPr="004119A5" w:rsidRDefault="00AB53EC" w:rsidP="00AB53EC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4119A5">
        <w:rPr>
          <w:rFonts w:ascii="Times New Roman" w:hAnsi="Times New Roman"/>
          <w:sz w:val="24"/>
          <w:szCs w:val="24"/>
        </w:rPr>
        <w:t>sz. lelőhely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09"/>
      </w:pPr>
      <w:r w:rsidRPr="004119A5">
        <w:t>Őskori és római kori település</w:t>
      </w:r>
    </w:p>
    <w:p w:rsidR="00AB53EC" w:rsidRDefault="00AB53EC" w:rsidP="00AB53EC">
      <w:pPr>
        <w:tabs>
          <w:tab w:val="left" w:pos="567"/>
          <w:tab w:val="left" w:pos="851"/>
        </w:tabs>
        <w:ind w:left="720"/>
      </w:pPr>
      <w:proofErr w:type="spellStart"/>
      <w:r w:rsidRPr="004119A5">
        <w:t>Hrsz</w:t>
      </w:r>
      <w:proofErr w:type="spellEnd"/>
      <w:r w:rsidRPr="004119A5">
        <w:t>.: 0114/2, 0114/3</w:t>
      </w:r>
    </w:p>
    <w:p w:rsidR="00AB53EC" w:rsidRPr="004119A5" w:rsidRDefault="00AB53EC" w:rsidP="00AB53EC">
      <w:pPr>
        <w:tabs>
          <w:tab w:val="left" w:pos="567"/>
          <w:tab w:val="left" w:pos="851"/>
        </w:tabs>
        <w:ind w:left="720"/>
      </w:pPr>
      <w:bookmarkStart w:id="0" w:name="_GoBack"/>
      <w:bookmarkEnd w:id="0"/>
    </w:p>
    <w:p w:rsidR="00AB53EC" w:rsidRPr="004119A5" w:rsidRDefault="00AB53EC" w:rsidP="00AB53EC">
      <w:pPr>
        <w:ind w:left="360"/>
      </w:pPr>
    </w:p>
    <w:p w:rsidR="00AB53EC" w:rsidRPr="004119A5" w:rsidRDefault="00AB53EC" w:rsidP="00AB53EC">
      <w:pPr>
        <w:numPr>
          <w:ilvl w:val="0"/>
          <w:numId w:val="2"/>
        </w:numPr>
        <w:spacing w:after="200" w:line="276" w:lineRule="auto"/>
        <w:jc w:val="center"/>
      </w:pPr>
      <w:r w:rsidRPr="004119A5">
        <w:rPr>
          <w:b/>
        </w:rPr>
        <w:lastRenderedPageBreak/>
        <w:t>Örökségvédelmi tájékoztató</w:t>
      </w:r>
    </w:p>
    <w:p w:rsidR="00AB53EC" w:rsidRPr="004119A5" w:rsidRDefault="00AB53EC" w:rsidP="00AB53EC">
      <w:pPr>
        <w:pStyle w:val="Szvegtrzsbehzssal"/>
        <w:widowControl w:val="0"/>
        <w:numPr>
          <w:ilvl w:val="0"/>
          <w:numId w:val="3"/>
        </w:numPr>
        <w:suppressAutoHyphens/>
      </w:pPr>
      <w:r w:rsidRPr="004119A5">
        <w:t>Műemlék telkén, műemléki környezetben, műemléki jelentőségű területen minden olyan építéssel, környezetalakítással, védett parkban növényzet-telepítéssel és eltávolítással járó tevékenység, amely építésügyi hatósági engedélyhez vagy az építésfelügyeleti hatóság tudomásulvételéhez nem kötött, a hatályos jogszabályok</w:t>
      </w:r>
      <w:r w:rsidRPr="004119A5">
        <w:rPr>
          <w:rStyle w:val="Lbjegyzet-karakterek"/>
          <w:vertAlign w:val="superscript"/>
        </w:rPr>
        <w:footnoteReference w:id="1"/>
      </w:r>
      <w:r w:rsidRPr="004119A5">
        <w:rPr>
          <w:vertAlign w:val="superscript"/>
        </w:rPr>
        <w:t xml:space="preserve"> </w:t>
      </w:r>
      <w:r w:rsidRPr="004119A5">
        <w:t>szerint</w:t>
      </w:r>
      <w:r w:rsidRPr="004119A5">
        <w:rPr>
          <w:color w:val="000000"/>
        </w:rPr>
        <w:t xml:space="preserve"> örökségvédelmi engedély vagy bejelentés alapján végezhető. Műemlék épületek építési ügyeiben az illetékes örökségvédelmi hatóság</w:t>
      </w:r>
      <w:r w:rsidRPr="004119A5">
        <w:rPr>
          <w:rStyle w:val="Lbjegyzet-karakterek"/>
          <w:color w:val="000000"/>
          <w:vertAlign w:val="superscript"/>
        </w:rPr>
        <w:footnoteReference w:id="2"/>
      </w:r>
      <w:r w:rsidRPr="004119A5">
        <w:rPr>
          <w:color w:val="000000"/>
          <w:vertAlign w:val="superscript"/>
        </w:rPr>
        <w:t xml:space="preserve"> </w:t>
      </w:r>
      <w:r w:rsidRPr="004119A5">
        <w:rPr>
          <w:color w:val="000000"/>
        </w:rPr>
        <w:t>építésügyi hatóságként jár el.</w:t>
      </w:r>
    </w:p>
    <w:p w:rsidR="00AB53EC" w:rsidRPr="004119A5" w:rsidRDefault="00AB53EC" w:rsidP="00AB53EC">
      <w:pPr>
        <w:pStyle w:val="Szvegtrzsbehzssal"/>
        <w:widowControl w:val="0"/>
        <w:numPr>
          <w:ilvl w:val="0"/>
          <w:numId w:val="3"/>
        </w:numPr>
        <w:suppressAutoHyphens/>
      </w:pPr>
      <w:r w:rsidRPr="004119A5">
        <w:t>Azokban az esetekben, ahol felmerül az építmény műemlékké nyilvánításának szándéka, első lépésként kezdeményezni kell a nyilvántartott műemléki értékké nyilvánítását.</w:t>
      </w:r>
      <w:r w:rsidRPr="004119A5">
        <w:rPr>
          <w:rStyle w:val="Lbjegyzet-karakterek"/>
          <w:vertAlign w:val="superscript"/>
        </w:rPr>
        <w:footnoteReference w:id="3"/>
      </w:r>
    </w:p>
    <w:p w:rsidR="00AB53EC" w:rsidRPr="004119A5" w:rsidRDefault="00AB53EC" w:rsidP="00AB53EC">
      <w:pPr>
        <w:widowControl w:val="0"/>
        <w:numPr>
          <w:ilvl w:val="0"/>
          <w:numId w:val="3"/>
        </w:numPr>
        <w:suppressAutoHyphens/>
        <w:jc w:val="both"/>
      </w:pPr>
      <w:r w:rsidRPr="004119A5">
        <w:t>Régészeti érintettség esetén a hatályos jogszabály</w:t>
      </w:r>
      <w:r w:rsidRPr="004119A5">
        <w:rPr>
          <w:rStyle w:val="Lbjegyzet-karakterek"/>
          <w:vertAlign w:val="superscript"/>
        </w:rPr>
        <w:footnoteReference w:id="4"/>
      </w:r>
      <w:r w:rsidRPr="004119A5">
        <w:rPr>
          <w:vertAlign w:val="superscript"/>
        </w:rPr>
        <w:t xml:space="preserve"> </w:t>
      </w:r>
      <w:r w:rsidRPr="004119A5">
        <w:t>alapján kell eljárni.</w:t>
      </w:r>
    </w:p>
    <w:p w:rsidR="00AB53EC" w:rsidRPr="004119A5" w:rsidRDefault="00AB53EC" w:rsidP="00AB53EC">
      <w:pPr>
        <w:widowControl w:val="0"/>
        <w:numPr>
          <w:ilvl w:val="0"/>
          <w:numId w:val="3"/>
        </w:numPr>
        <w:suppressAutoHyphens/>
        <w:jc w:val="both"/>
        <w:rPr>
          <w:color w:val="000000"/>
        </w:rPr>
      </w:pPr>
      <w:r w:rsidRPr="004119A5">
        <w:t xml:space="preserve">Nyilvántartott régészeti lelőhelyet érintő </w:t>
      </w:r>
      <w:r w:rsidRPr="004119A5">
        <w:rPr>
          <w:color w:val="000000"/>
        </w:rPr>
        <w:t>talajbolygatással járó</w:t>
      </w:r>
      <w:r w:rsidRPr="004119A5">
        <w:t xml:space="preserve"> tevékenység végzéséhez</w:t>
      </w:r>
      <w:r w:rsidRPr="004119A5">
        <w:rPr>
          <w:color w:val="000000"/>
        </w:rPr>
        <w:t xml:space="preserve"> kapcsolódó eljárásban, amennyiben ezt jogszabály előírja, az illetékes örökségvédelmi hatóság szakhatóságként, illetve szakkérdés vizsgálatában vesz részt</w:t>
      </w:r>
      <w:r w:rsidRPr="004119A5">
        <w:rPr>
          <w:rStyle w:val="Lbjegyzet-karakterek"/>
          <w:color w:val="000000"/>
          <w:vertAlign w:val="superscript"/>
        </w:rPr>
        <w:footnoteReference w:id="5"/>
      </w:r>
      <w:r w:rsidRPr="004119A5">
        <w:rPr>
          <w:color w:val="000000"/>
        </w:rPr>
        <w:t>.</w:t>
      </w:r>
    </w:p>
    <w:p w:rsidR="00AB53EC" w:rsidRPr="004119A5" w:rsidRDefault="00AB53EC" w:rsidP="00AB53EC">
      <w:pPr>
        <w:widowControl w:val="0"/>
        <w:numPr>
          <w:ilvl w:val="0"/>
          <w:numId w:val="3"/>
        </w:numPr>
        <w:suppressAutoHyphens/>
        <w:jc w:val="both"/>
        <w:rPr>
          <w:color w:val="000000"/>
        </w:rPr>
      </w:pPr>
      <w:r w:rsidRPr="004119A5">
        <w:rPr>
          <w:color w:val="000000"/>
        </w:rPr>
        <w:t>A védett régészeti lelőhelyen végzett 30 cm–t meghaladó földmunka örökségvédelmi engedély köteles tevékenység</w:t>
      </w:r>
      <w:r w:rsidRPr="004119A5">
        <w:rPr>
          <w:rStyle w:val="Lbjegyzet-karakterek"/>
          <w:color w:val="000000"/>
          <w:vertAlign w:val="superscript"/>
        </w:rPr>
        <w:footnoteReference w:id="6"/>
      </w:r>
      <w:r w:rsidRPr="004119A5">
        <w:rPr>
          <w:color w:val="000000"/>
        </w:rPr>
        <w:t>.</w:t>
      </w:r>
    </w:p>
    <w:p w:rsidR="00AB53EC" w:rsidRPr="004119A5" w:rsidRDefault="00AB53EC" w:rsidP="00AB53EC">
      <w:pPr>
        <w:widowControl w:val="0"/>
        <w:numPr>
          <w:ilvl w:val="0"/>
          <w:numId w:val="3"/>
        </w:numPr>
        <w:suppressAutoHyphens/>
        <w:jc w:val="both"/>
        <w:rPr>
          <w:color w:val="000000"/>
          <w:vertAlign w:val="superscript"/>
        </w:rPr>
      </w:pPr>
      <w:r w:rsidRPr="004119A5">
        <w:rPr>
          <w:color w:val="000000"/>
        </w:rPr>
        <w:t xml:space="preserve">Minden olyan esetben, amikor régészeti lelet vagy annak tűnő tárgy, régészeti emlék vagy régészeti jelenség kerül elő, a területileg illetékes jegyzőt </w:t>
      </w:r>
      <w:proofErr w:type="spellStart"/>
      <w:r w:rsidRPr="004119A5">
        <w:rPr>
          <w:color w:val="000000"/>
        </w:rPr>
        <w:t>értesíteni</w:t>
      </w:r>
      <w:proofErr w:type="spellEnd"/>
      <w:r w:rsidRPr="004119A5">
        <w:rPr>
          <w:color w:val="000000"/>
        </w:rPr>
        <w:t xml:space="preserve"> kell, aki haladéktalanul tájékoztatja a </w:t>
      </w:r>
      <w:proofErr w:type="spellStart"/>
      <w:r w:rsidRPr="004119A5">
        <w:rPr>
          <w:color w:val="000000"/>
        </w:rPr>
        <w:t>Forster</w:t>
      </w:r>
      <w:proofErr w:type="spellEnd"/>
      <w:r w:rsidRPr="004119A5">
        <w:rPr>
          <w:color w:val="000000"/>
        </w:rPr>
        <w:t xml:space="preserve"> Gyula Nemzeti Örökségvédelmi és Vagyongazdálkodási Központot, a további intézkedésig a munkálatokat fel kell függeszteni, a terület őrzéséről a megtaláló köteles gondoskodni</w:t>
      </w:r>
      <w:r w:rsidRPr="004119A5">
        <w:rPr>
          <w:rStyle w:val="Lbjegyzet-karakterek"/>
          <w:color w:val="000000"/>
          <w:vertAlign w:val="superscript"/>
        </w:rPr>
        <w:footnoteReference w:id="7"/>
      </w:r>
      <w:r w:rsidRPr="004119A5">
        <w:rPr>
          <w:color w:val="000000"/>
          <w:vertAlign w:val="superscript"/>
        </w:rPr>
        <w:t>.</w:t>
      </w:r>
    </w:p>
    <w:p w:rsidR="00AB53EC" w:rsidRPr="004119A5" w:rsidRDefault="00AB53EC" w:rsidP="00AB53EC">
      <w:pPr>
        <w:widowControl w:val="0"/>
        <w:numPr>
          <w:ilvl w:val="0"/>
          <w:numId w:val="3"/>
        </w:numPr>
        <w:suppressAutoHyphens/>
        <w:jc w:val="both"/>
        <w:rPr>
          <w:color w:val="000000"/>
        </w:rPr>
      </w:pPr>
      <w:r w:rsidRPr="004119A5">
        <w:rPr>
          <w:color w:val="000000"/>
        </w:rPr>
        <w:t>A jogszabályban meghatározott nagyberuházások</w:t>
      </w:r>
      <w:r w:rsidRPr="004119A5">
        <w:rPr>
          <w:rStyle w:val="Lbjegyzet-karakterek"/>
          <w:color w:val="000000"/>
          <w:vertAlign w:val="superscript"/>
        </w:rPr>
        <w:footnoteReference w:id="8"/>
      </w:r>
      <w:r w:rsidRPr="004119A5">
        <w:rPr>
          <w:color w:val="000000"/>
        </w:rPr>
        <w:t xml:space="preserve"> esetében a régészeti feladatok tartalma előzetes régészeti dokumentáció elkészítése után kerül meghatározásra, az előzetes régészeti dokumentáció elkészítésére,</w:t>
      </w:r>
      <w:r w:rsidRPr="004119A5">
        <w:rPr>
          <w:color w:val="00000A"/>
          <w:shd w:val="clear" w:color="auto" w:fill="FFFFFF"/>
        </w:rPr>
        <w:t xml:space="preserve"> a jogszabályban meghatározott szerv jogosult.</w:t>
      </w:r>
    </w:p>
    <w:p w:rsidR="00AB53EC" w:rsidRPr="004119A5" w:rsidRDefault="00AB53EC" w:rsidP="00AB53EC">
      <w:pPr>
        <w:widowControl w:val="0"/>
        <w:numPr>
          <w:ilvl w:val="0"/>
          <w:numId w:val="3"/>
        </w:numPr>
        <w:suppressAutoHyphens/>
        <w:jc w:val="both"/>
        <w:rPr>
          <w:color w:val="000000"/>
        </w:rPr>
      </w:pPr>
      <w:r w:rsidRPr="004119A5">
        <w:rPr>
          <w:color w:val="000000"/>
        </w:rPr>
        <w:t>Nagyberuházások esetén a földmunkával járó tevékenység engedélyezésére irányuló hatósági eljárásban, az adott beruházásra vonatkozó előzetes régészeti dokumentáció az eljáró hatósághoz benyújtott kérelem kötelező melléklete</w:t>
      </w:r>
      <w:r w:rsidRPr="004119A5">
        <w:rPr>
          <w:rStyle w:val="Lbjegyzet-karakterek"/>
          <w:color w:val="000000"/>
          <w:vertAlign w:val="superscript"/>
        </w:rPr>
        <w:footnoteReference w:id="9"/>
      </w:r>
      <w:r w:rsidRPr="004119A5">
        <w:rPr>
          <w:color w:val="000000"/>
        </w:rPr>
        <w:t>.</w:t>
      </w:r>
    </w:p>
    <w:p w:rsidR="00AB53EC" w:rsidRPr="004119A5" w:rsidRDefault="00AB53EC" w:rsidP="00AB53EC">
      <w:pPr>
        <w:widowControl w:val="0"/>
        <w:numPr>
          <w:ilvl w:val="0"/>
          <w:numId w:val="3"/>
        </w:numPr>
        <w:suppressAutoHyphens/>
        <w:jc w:val="both"/>
      </w:pPr>
      <w:r w:rsidRPr="004119A5">
        <w:rPr>
          <w:color w:val="000000"/>
        </w:rPr>
        <w:t>A régészeti örökséget és a műemléki értéket érintő kérdésekben a központi közhiteles örökségvédelmi nyilvántartásban</w:t>
      </w:r>
      <w:r w:rsidRPr="004119A5">
        <w:rPr>
          <w:rStyle w:val="Lbjegyzet-karakterek"/>
          <w:color w:val="000000"/>
          <w:vertAlign w:val="superscript"/>
        </w:rPr>
        <w:footnoteReference w:id="10"/>
      </w:r>
      <w:r w:rsidRPr="004119A5">
        <w:rPr>
          <w:color w:val="000000"/>
        </w:rPr>
        <w:t xml:space="preserve"> és a rendezési tervhez készített örökségvédelmi hatástanulmányban foglaltak együttesen irányadók.</w:t>
      </w:r>
    </w:p>
    <w:p w:rsidR="00AB53EC" w:rsidRPr="000A32A4" w:rsidRDefault="00AB53EC" w:rsidP="00AB53EC"/>
    <w:p w:rsidR="00D40356" w:rsidRDefault="00D40356"/>
    <w:sectPr w:rsidR="00D4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AD" w:rsidRDefault="000D1AAD" w:rsidP="00AB53EC">
      <w:r>
        <w:separator/>
      </w:r>
    </w:p>
  </w:endnote>
  <w:endnote w:type="continuationSeparator" w:id="0">
    <w:p w:rsidR="000D1AAD" w:rsidRDefault="000D1AAD" w:rsidP="00AB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EE"/>
    <w:family w:val="modern"/>
    <w:pitch w:val="fixed"/>
    <w:sig w:usb0="E0001AFF" w:usb1="400078FF" w:usb2="00000001" w:usb3="00000000" w:csb0="000001BF" w:csb1="00000000"/>
  </w:font>
  <w:font w:name="DejaVu Sans Mono">
    <w:altName w:val="Arial Unicode MS"/>
    <w:charset w:val="EE"/>
    <w:family w:val="modern"/>
    <w:pitch w:val="fixed"/>
    <w:sig w:usb0="E60026FF" w:usb1="D000F1FB" w:usb2="00000028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AD" w:rsidRDefault="000D1AAD" w:rsidP="00AB53EC">
      <w:r>
        <w:separator/>
      </w:r>
    </w:p>
  </w:footnote>
  <w:footnote w:type="continuationSeparator" w:id="0">
    <w:p w:rsidR="000D1AAD" w:rsidRDefault="000D1AAD" w:rsidP="00AB53EC">
      <w:r>
        <w:continuationSeparator/>
      </w:r>
    </w:p>
  </w:footnote>
  <w:footnote w:id="1">
    <w:p w:rsidR="00AB53EC" w:rsidRPr="001B1ED3" w:rsidRDefault="00AB53EC" w:rsidP="00AB53EC">
      <w:pPr>
        <w:pStyle w:val="Lbjegyzetszveg"/>
        <w:jc w:val="both"/>
        <w:rPr>
          <w:sz w:val="16"/>
          <w:szCs w:val="16"/>
        </w:rPr>
      </w:pPr>
      <w:r w:rsidRPr="001B1ED3">
        <w:rPr>
          <w:rStyle w:val="Lbjegyzet-karakterek"/>
          <w:sz w:val="16"/>
          <w:szCs w:val="16"/>
        </w:rPr>
        <w:footnoteRef/>
      </w:r>
      <w:r w:rsidRPr="001B1ED3">
        <w:rPr>
          <w:sz w:val="16"/>
          <w:szCs w:val="16"/>
        </w:rPr>
        <w:tab/>
        <w:t xml:space="preserve"> </w:t>
      </w:r>
      <w:r w:rsidRPr="001B1ED3">
        <w:rPr>
          <w:color w:val="000000"/>
          <w:sz w:val="16"/>
          <w:szCs w:val="16"/>
        </w:rPr>
        <w:t>Jelenleg a kultur</w:t>
      </w:r>
      <w:r w:rsidRPr="001B1ED3">
        <w:rPr>
          <w:sz w:val="16"/>
          <w:szCs w:val="16"/>
        </w:rPr>
        <w:t>ális örökség védelméről szóló 2001. évi LXIV. törvény és a hozzá kapcsolódó kormányrendeletek és miniszteri rendeletek</w:t>
      </w:r>
    </w:p>
  </w:footnote>
  <w:footnote w:id="2">
    <w:p w:rsidR="00AB53EC" w:rsidRPr="001B1ED3" w:rsidRDefault="00AB53EC" w:rsidP="00AB53EC">
      <w:pPr>
        <w:pStyle w:val="Lbjegyzetszveg"/>
        <w:jc w:val="both"/>
        <w:rPr>
          <w:sz w:val="16"/>
          <w:szCs w:val="16"/>
        </w:rPr>
      </w:pPr>
      <w:r w:rsidRPr="001B1ED3">
        <w:rPr>
          <w:rStyle w:val="Lbjegyzet-karakterek"/>
          <w:sz w:val="16"/>
          <w:szCs w:val="16"/>
        </w:rPr>
        <w:footnoteRef/>
      </w:r>
      <w:r w:rsidRPr="001B1ED3">
        <w:rPr>
          <w:sz w:val="16"/>
          <w:szCs w:val="16"/>
        </w:rPr>
        <w:tab/>
        <w:t xml:space="preserve"> A Tolna Megyei Kormányhivatal Szekszárdi Járási Hivatala Építésügyi és Örökségvédelmi Osztálya</w:t>
      </w:r>
    </w:p>
  </w:footnote>
  <w:footnote w:id="3">
    <w:p w:rsidR="00AB53EC" w:rsidRPr="001B1ED3" w:rsidRDefault="00AB53EC" w:rsidP="00AB53EC">
      <w:pPr>
        <w:pStyle w:val="Elformzottszveg"/>
        <w:jc w:val="both"/>
        <w:rPr>
          <w:rFonts w:ascii="Times New Roman" w:hAnsi="Times New Roman" w:cs="Times New Roman"/>
          <w:sz w:val="16"/>
          <w:szCs w:val="16"/>
        </w:rPr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2001. évi LXIV. tv. 28/A. § - 29. §</w:t>
      </w:r>
    </w:p>
  </w:footnote>
  <w:footnote w:id="4">
    <w:p w:rsidR="00AB53EC" w:rsidRPr="001B1ED3" w:rsidRDefault="00AB53EC" w:rsidP="00AB53EC">
      <w:pPr>
        <w:pStyle w:val="Elformzottszveg"/>
        <w:jc w:val="both"/>
        <w:rPr>
          <w:rFonts w:ascii="Times New Roman" w:hAnsi="Times New Roman" w:cs="Times New Roman"/>
          <w:sz w:val="16"/>
          <w:szCs w:val="16"/>
        </w:rPr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>Jelenleg a kultur</w:t>
      </w:r>
      <w:r w:rsidRPr="001B1ED3">
        <w:rPr>
          <w:rFonts w:ascii="Times New Roman" w:hAnsi="Times New Roman" w:cs="Times New Roman"/>
          <w:sz w:val="16"/>
          <w:szCs w:val="16"/>
        </w:rPr>
        <w:t>ális örökség védelméről szóló 2001. évi LXIV. törvény és a hozzá kapcsolódó kormányrendeletek és miniszteri rendeletek</w:t>
      </w:r>
    </w:p>
  </w:footnote>
  <w:footnote w:id="5">
    <w:p w:rsidR="00AB53EC" w:rsidRPr="001B1ED3" w:rsidRDefault="00AB53EC" w:rsidP="00AB53EC">
      <w:pPr>
        <w:pStyle w:val="Elformzottszveg"/>
        <w:jc w:val="both"/>
        <w:rPr>
          <w:rFonts w:ascii="Times New Roman" w:hAnsi="Times New Roman" w:cs="Times New Roman"/>
          <w:sz w:val="16"/>
          <w:szCs w:val="16"/>
        </w:rPr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A régészeti örökség és műemléki érték védelmével kapcsolatos szabályokról szóló 39/2015 (III. 11.) Korm. rendelet 63-65. §</w:t>
      </w:r>
    </w:p>
  </w:footnote>
  <w:footnote w:id="6">
    <w:p w:rsidR="00AB53EC" w:rsidRPr="001B1ED3" w:rsidRDefault="00AB53EC" w:rsidP="00AB53EC">
      <w:pPr>
        <w:pStyle w:val="Elformzottszveg"/>
        <w:jc w:val="both"/>
        <w:rPr>
          <w:rFonts w:ascii="Times New Roman" w:hAnsi="Times New Roman" w:cs="Times New Roman"/>
          <w:sz w:val="16"/>
          <w:szCs w:val="16"/>
        </w:rPr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39/2015 (III. 11.) Korm. rendelet 40. §</w:t>
      </w:r>
    </w:p>
  </w:footnote>
  <w:footnote w:id="7">
    <w:p w:rsidR="00AB53EC" w:rsidRPr="001B1ED3" w:rsidRDefault="00AB53EC" w:rsidP="00AB53EC">
      <w:pPr>
        <w:pStyle w:val="Elformzottszveg"/>
        <w:jc w:val="both"/>
        <w:rPr>
          <w:rFonts w:ascii="Times New Roman" w:hAnsi="Times New Roman" w:cs="Times New Roman"/>
          <w:sz w:val="16"/>
          <w:szCs w:val="16"/>
        </w:rPr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2001. évi LXIV. tv. 24. §</w:t>
      </w:r>
    </w:p>
  </w:footnote>
  <w:footnote w:id="8">
    <w:p w:rsidR="00AB53EC" w:rsidRPr="001B1ED3" w:rsidRDefault="00AB53EC" w:rsidP="00AB53EC">
      <w:pPr>
        <w:pStyle w:val="Elformzottszveg"/>
        <w:jc w:val="both"/>
        <w:rPr>
          <w:rFonts w:ascii="Times New Roman" w:hAnsi="Times New Roman" w:cs="Times New Roman"/>
          <w:sz w:val="16"/>
          <w:szCs w:val="16"/>
        </w:rPr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2001. évi LXIV. tv. 7. § 20. pontja, 39/2015 (III. 11.) Korm. rendelet 19. §</w:t>
      </w:r>
    </w:p>
  </w:footnote>
  <w:footnote w:id="9">
    <w:p w:rsidR="00AB53EC" w:rsidRPr="001B1ED3" w:rsidRDefault="00AB53EC" w:rsidP="00AB53EC">
      <w:pPr>
        <w:pStyle w:val="Elformzottszveg"/>
        <w:jc w:val="both"/>
        <w:rPr>
          <w:rFonts w:ascii="Times New Roman" w:hAnsi="Times New Roman" w:cs="Times New Roman"/>
          <w:sz w:val="16"/>
          <w:szCs w:val="16"/>
        </w:rPr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39/2015 (III. 11.) Korm. rendelet 22. § (6)</w:t>
      </w:r>
    </w:p>
  </w:footnote>
  <w:footnote w:id="10">
    <w:p w:rsidR="00AB53EC" w:rsidRDefault="00AB53EC" w:rsidP="00AB53EC">
      <w:pPr>
        <w:pStyle w:val="Elformzottszveg"/>
        <w:jc w:val="both"/>
      </w:pPr>
      <w:r w:rsidRPr="001B1ED3"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 w:rsidRPr="001B1ED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2001. évi LXIV. tv. 71. § (1); a régészeti lelőhely és a műemléki érték nyilvántartásának és védetté nyilvánításának, valamint a régészeti lelőhely és lelet megtalálója anyagi elismerésének részletes szabályairól szóló 13/2015. (III. 11.) </w:t>
      </w:r>
      <w:proofErr w:type="spellStart"/>
      <w:r w:rsidRPr="001B1ED3">
        <w:rPr>
          <w:rFonts w:ascii="Times New Roman" w:hAnsi="Times New Roman" w:cs="Times New Roman"/>
          <w:color w:val="000000"/>
          <w:sz w:val="16"/>
          <w:szCs w:val="16"/>
        </w:rPr>
        <w:t>MvM</w:t>
      </w:r>
      <w:proofErr w:type="spellEnd"/>
      <w:r w:rsidRPr="001B1ED3">
        <w:rPr>
          <w:rFonts w:ascii="Times New Roman" w:hAnsi="Times New Roman" w:cs="Times New Roman"/>
          <w:color w:val="000000"/>
          <w:sz w:val="16"/>
          <w:szCs w:val="16"/>
        </w:rPr>
        <w:t xml:space="preserve"> rendelet 2. 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0632"/>
    <w:multiLevelType w:val="hybridMultilevel"/>
    <w:tmpl w:val="1CDA5908"/>
    <w:lvl w:ilvl="0" w:tplc="D8FC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AEFBA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7517BE"/>
    <w:multiLevelType w:val="multilevel"/>
    <w:tmpl w:val="789A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9647E2"/>
    <w:multiLevelType w:val="hybridMultilevel"/>
    <w:tmpl w:val="80BC0C0E"/>
    <w:lvl w:ilvl="0" w:tplc="040E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486945"/>
    <w:multiLevelType w:val="hybridMultilevel"/>
    <w:tmpl w:val="EB8E6454"/>
    <w:lvl w:ilvl="0" w:tplc="4A005D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21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EC"/>
    <w:rsid w:val="000D1AAD"/>
    <w:rsid w:val="00AB53EC"/>
    <w:rsid w:val="00D4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CBE2"/>
  <w15:chartTrackingRefBased/>
  <w15:docId w15:val="{DC6688B9-93F3-4CFD-86B7-7413ABB4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B5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AB53EC"/>
    <w:pPr>
      <w:tabs>
        <w:tab w:val="left" w:pos="6300"/>
      </w:tabs>
      <w:ind w:firstLine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AB53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AB53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B53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-karakterek">
    <w:name w:val="Lábjegyzet-karakterek"/>
    <w:rsid w:val="00AB53EC"/>
  </w:style>
  <w:style w:type="paragraph" w:customStyle="1" w:styleId="Elformzottszveg">
    <w:name w:val="Előformázott szöveg"/>
    <w:basedOn w:val="Norml"/>
    <w:rsid w:val="00AB53EC"/>
    <w:pPr>
      <w:widowControl w:val="0"/>
      <w:suppressAutoHyphens/>
    </w:pPr>
    <w:rPr>
      <w:rFonts w:ascii="Liberation Mono" w:eastAsia="DejaVu Sans Mono" w:hAnsi="Liberation Mono" w:cs="Liberation Mono"/>
      <w:sz w:val="20"/>
      <w:szCs w:val="20"/>
      <w:lang w:eastAsia="zh-CN" w:bidi="hi-IN"/>
    </w:rPr>
  </w:style>
  <w:style w:type="paragraph" w:customStyle="1" w:styleId="ListParagraph">
    <w:name w:val="List Paragraph"/>
    <w:basedOn w:val="Norml"/>
    <w:rsid w:val="00AB53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Magyarkeszi Közös Önkormányzati Hivatal</dc:creator>
  <cp:keywords/>
  <dc:description/>
  <cp:lastModifiedBy>Magyarkeszi Közös Önkormányzati Hivatal</cp:lastModifiedBy>
  <cp:revision>1</cp:revision>
  <dcterms:created xsi:type="dcterms:W3CDTF">2017-01-29T22:13:00Z</dcterms:created>
  <dcterms:modified xsi:type="dcterms:W3CDTF">2017-01-29T22:15:00Z</dcterms:modified>
</cp:coreProperties>
</file>