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D71" w:rsidRPr="004B5365" w:rsidRDefault="00A41D71" w:rsidP="00A41D7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65">
        <w:rPr>
          <w:rFonts w:ascii="Times New Roman" w:hAnsi="Times New Roman" w:cs="Times New Roman"/>
          <w:b/>
          <w:sz w:val="24"/>
          <w:szCs w:val="24"/>
        </w:rPr>
        <w:t>A Gesztely község Önkormányzat Szervezeti és Működési Szabályzatáról szóló</w:t>
      </w:r>
    </w:p>
    <w:p w:rsidR="00A41D71" w:rsidRPr="004B5365" w:rsidRDefault="00A41D71" w:rsidP="00A41D7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4B5365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B5365">
        <w:rPr>
          <w:rFonts w:ascii="Times New Roman" w:hAnsi="Times New Roman" w:cs="Times New Roman"/>
          <w:b/>
          <w:sz w:val="24"/>
          <w:szCs w:val="24"/>
        </w:rPr>
        <w:t>. (V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B53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Pr="004B5365">
        <w:rPr>
          <w:rFonts w:ascii="Times New Roman" w:hAnsi="Times New Roman" w:cs="Times New Roman"/>
          <w:b/>
          <w:sz w:val="24"/>
          <w:szCs w:val="24"/>
        </w:rPr>
        <w:t>.) Önkormányzati rendelet</w:t>
      </w:r>
    </w:p>
    <w:p w:rsidR="00A41D71" w:rsidRPr="004B5365" w:rsidRDefault="00A41D71" w:rsidP="00A41D7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65">
        <w:rPr>
          <w:rFonts w:ascii="Times New Roman" w:hAnsi="Times New Roman" w:cs="Times New Roman"/>
          <w:b/>
          <w:sz w:val="24"/>
          <w:szCs w:val="24"/>
        </w:rPr>
        <w:t>a 52/2016. (X. 4.) önkormányzati határozattal</w:t>
      </w:r>
    </w:p>
    <w:p w:rsidR="00A41D71" w:rsidRPr="004B5365" w:rsidRDefault="00A41D71" w:rsidP="00A41D7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65">
        <w:rPr>
          <w:rFonts w:ascii="Times New Roman" w:hAnsi="Times New Roman" w:cs="Times New Roman"/>
          <w:b/>
          <w:sz w:val="24"/>
          <w:szCs w:val="24"/>
        </w:rPr>
        <w:t xml:space="preserve">elfogadott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B5365">
        <w:rPr>
          <w:rFonts w:ascii="Times New Roman" w:hAnsi="Times New Roman" w:cs="Times New Roman"/>
          <w:b/>
          <w:sz w:val="24"/>
          <w:szCs w:val="24"/>
        </w:rPr>
        <w:t>. számú Függelék</w:t>
      </w:r>
    </w:p>
    <w:p w:rsidR="00A41D71" w:rsidRPr="004B5365" w:rsidRDefault="00A41D71" w:rsidP="00A41D71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A41D71" w:rsidRPr="004B5365" w:rsidRDefault="00A41D71" w:rsidP="00A41D71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A41D71" w:rsidRPr="004B5365" w:rsidRDefault="00A41D71" w:rsidP="00A41D71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1177"/>
        <w:gridCol w:w="8996"/>
      </w:tblGrid>
      <w:tr w:rsidR="00A41D71" w:rsidRPr="004B5365" w:rsidTr="00677B4C">
        <w:trPr>
          <w:trHeight w:val="320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B5365">
              <w:rPr>
                <w:rFonts w:ascii="Times New Roman" w:hAnsi="Times New Roman" w:cs="Times New Roman"/>
                <w:b/>
                <w:sz w:val="24"/>
                <w:szCs w:val="24"/>
              </w:rPr>
              <w:t>kor.funk</w:t>
            </w:r>
            <w:proofErr w:type="spellEnd"/>
            <w:proofErr w:type="gramEnd"/>
            <w:r w:rsidRPr="004B53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</w:tr>
      <w:tr w:rsidR="00A41D71" w:rsidRPr="004B5365" w:rsidTr="00677B4C">
        <w:trPr>
          <w:trHeight w:val="320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A41D71" w:rsidRPr="004B5365" w:rsidTr="00677B4C">
        <w:trPr>
          <w:trHeight w:val="320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Köztemető-fenntartás és - működtetés</w:t>
            </w:r>
          </w:p>
        </w:tc>
      </w:tr>
      <w:tr w:rsidR="00A41D71" w:rsidRPr="004B5365" w:rsidTr="00677B4C">
        <w:trPr>
          <w:trHeight w:val="320"/>
        </w:trPr>
        <w:tc>
          <w:tcPr>
            <w:tcW w:w="1101" w:type="dxa"/>
          </w:tcPr>
          <w:p w:rsidR="00A41D71" w:rsidRPr="00FD0880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A41D71" w:rsidRPr="004B5365" w:rsidTr="00677B4C">
        <w:trPr>
          <w:trHeight w:val="320"/>
        </w:trPr>
        <w:tc>
          <w:tcPr>
            <w:tcW w:w="1101" w:type="dxa"/>
          </w:tcPr>
          <w:p w:rsidR="00A41D71" w:rsidRPr="00FD0880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016080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A41D71" w:rsidRPr="004B5365" w:rsidTr="00677B4C">
        <w:trPr>
          <w:trHeight w:val="320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022010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Polgári honvédelem ágazati feladatai, a lakosság felkészítése</w:t>
            </w:r>
          </w:p>
        </w:tc>
      </w:tr>
      <w:tr w:rsidR="00A41D71" w:rsidRPr="004B5365" w:rsidTr="00677B4C">
        <w:trPr>
          <w:trHeight w:val="320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A41D71" w:rsidRPr="004B5365" w:rsidTr="00677B4C">
        <w:trPr>
          <w:trHeight w:val="336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101" w:type="dxa"/>
          </w:tcPr>
          <w:p w:rsidR="00A41D71" w:rsidRPr="00081472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041233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Hosszabb időtartamú közfoglalkoztatás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041236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Országos közfoglalkoztatási program</w:t>
            </w:r>
          </w:p>
        </w:tc>
      </w:tr>
      <w:tr w:rsidR="00A41D71" w:rsidRPr="004B5365" w:rsidTr="00677B4C"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045160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Közutak, hidak, alagutak üzemeltetése, fenntartása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047410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Ár- és belvízvédelemmel összefüggő tevékenységek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064010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Közvilágítás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066020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Város-, községgazdálkodási egyéb szolgáltatások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072112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Háziorvosi ügyeleti ellátás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101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074031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Család és nővédelmi egészségügyi gondozás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074032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Ifjúság – egészségügyi gondozás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081030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Sportlétesítmények, edzőtáborok működtetése és fejlesztése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082091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Közművelődés és közösségi és társadalmi részvétel fejlesztése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082092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Közművelődés – hagyományos közösségi kulturális értékek gondozása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096010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Óvodai intézményi étkeztetés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01" w:type="dxa"/>
          </w:tcPr>
          <w:p w:rsidR="00A41D71" w:rsidRPr="00081472" w:rsidRDefault="00A41D71" w:rsidP="00677B4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096015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Gyermekétkeztetés köznevelési intézményben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096020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Iskolai intézményi étkeztetés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101" w:type="dxa"/>
          </w:tcPr>
          <w:p w:rsidR="00A41D71" w:rsidRPr="00081472" w:rsidRDefault="00A41D71" w:rsidP="00677B4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096025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101" w:type="dxa"/>
          </w:tcPr>
          <w:p w:rsidR="00A41D71" w:rsidRPr="00FD0880" w:rsidRDefault="00A41D71" w:rsidP="00677B4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104037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Intézményen kívüli gyermekétkeztetés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107051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Szociális étkeztetés</w:t>
            </w:r>
          </w:p>
        </w:tc>
      </w:tr>
      <w:tr w:rsidR="00A41D71" w:rsidRPr="004B5365" w:rsidTr="00677B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01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107055</w:t>
            </w:r>
          </w:p>
        </w:tc>
        <w:tc>
          <w:tcPr>
            <w:tcW w:w="9072" w:type="dxa"/>
          </w:tcPr>
          <w:p w:rsidR="00A41D71" w:rsidRPr="004B5365" w:rsidRDefault="00A41D71" w:rsidP="0067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365">
              <w:rPr>
                <w:rFonts w:ascii="Times New Roman" w:hAnsi="Times New Roman" w:cs="Times New Roman"/>
                <w:sz w:val="24"/>
                <w:szCs w:val="24"/>
              </w:rPr>
              <w:t xml:space="preserve"> Falugondnoki, tanyagondnoki szolgáltatás</w:t>
            </w:r>
          </w:p>
        </w:tc>
      </w:tr>
    </w:tbl>
    <w:p w:rsidR="00A41D71" w:rsidRPr="004B5365" w:rsidRDefault="00A41D71" w:rsidP="00A41D71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2"/>
          <w:szCs w:val="22"/>
          <w:vertAlign w:val="superscript"/>
        </w:rPr>
      </w:pPr>
      <w:r w:rsidRPr="004B5365">
        <w:rPr>
          <w:rFonts w:ascii="Times New Roman" w:hAnsi="Times New Roman" w:cs="Times New Roman"/>
        </w:rPr>
        <w:t xml:space="preserve"> </w:t>
      </w:r>
      <w:r>
        <w:rPr>
          <w:rFonts w:ascii="Calibri" w:hAnsi="Calibri"/>
          <w:sz w:val="22"/>
          <w:szCs w:val="22"/>
          <w:vertAlign w:val="superscript"/>
        </w:rPr>
        <w:tab/>
      </w: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  <w:vertAlign w:val="superscript"/>
        </w:rPr>
        <w:t>11</w:t>
      </w:r>
      <w:r>
        <w:rPr>
          <w:rFonts w:ascii="Calibri" w:hAnsi="Calibri"/>
          <w:sz w:val="20"/>
          <w:szCs w:val="20"/>
        </w:rPr>
        <w:t xml:space="preserve"> Módosította a 15/2014. (II.6.) ÖK. határozat</w:t>
      </w: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vertAlign w:val="superscript"/>
        </w:rPr>
        <w:t>12</w:t>
      </w:r>
      <w:r>
        <w:rPr>
          <w:rFonts w:ascii="Calibri" w:hAnsi="Calibri"/>
          <w:sz w:val="20"/>
          <w:szCs w:val="20"/>
        </w:rPr>
        <w:t xml:space="preserve"> Módosította a 15/2014. (II.6.) ÖK. határozat</w:t>
      </w: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vertAlign w:val="superscript"/>
        </w:rPr>
        <w:t>13</w:t>
      </w:r>
      <w:r>
        <w:rPr>
          <w:rFonts w:ascii="Calibri" w:hAnsi="Calibri"/>
          <w:sz w:val="20"/>
          <w:szCs w:val="20"/>
        </w:rPr>
        <w:t xml:space="preserve"> Módosította az 51/2016. (X.4.) ÖK. határozat </w:t>
      </w: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vertAlign w:val="superscript"/>
        </w:rPr>
        <w:t xml:space="preserve">14 </w:t>
      </w:r>
      <w:r>
        <w:rPr>
          <w:rFonts w:ascii="Calibri" w:hAnsi="Calibri"/>
          <w:sz w:val="20"/>
          <w:szCs w:val="20"/>
        </w:rPr>
        <w:t>Módosította az 51/2016. (X.4.) ÖK. határozat</w:t>
      </w:r>
    </w:p>
    <w:p w:rsidR="00A41D71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vertAlign w:val="superscript"/>
        </w:rPr>
        <w:t xml:space="preserve">15 </w:t>
      </w:r>
      <w:r>
        <w:rPr>
          <w:rFonts w:ascii="Calibri" w:hAnsi="Calibri"/>
          <w:sz w:val="20"/>
          <w:szCs w:val="20"/>
        </w:rPr>
        <w:t>Módosította az 52/2016. (X.24.) ÖK határozat</w:t>
      </w:r>
    </w:p>
    <w:p w:rsidR="00A41D71" w:rsidRPr="00081472" w:rsidRDefault="00A41D71" w:rsidP="00A41D71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vertAlign w:val="superscript"/>
        </w:rPr>
        <w:t>16</w:t>
      </w:r>
      <w:r>
        <w:rPr>
          <w:rFonts w:ascii="Calibri" w:hAnsi="Calibri"/>
          <w:sz w:val="20"/>
          <w:szCs w:val="20"/>
        </w:rPr>
        <w:t xml:space="preserve"> Módosította az 52/2016. (X.24.) ÖK határozat</w:t>
      </w:r>
    </w:p>
    <w:p w:rsidR="005E3E0E" w:rsidRDefault="005E3E0E">
      <w:bookmarkStart w:id="0" w:name="_GoBack"/>
      <w:bookmarkEnd w:id="0"/>
    </w:p>
    <w:sectPr w:rsidR="005E3E0E" w:rsidSect="003F412D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9E7" w:rsidRDefault="00A41D71">
    <w:pPr>
      <w:pStyle w:val="llb"/>
    </w:pPr>
  </w:p>
  <w:p w:rsidR="009E69E7" w:rsidRDefault="00A41D7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71"/>
    <w:rsid w:val="005E3E0E"/>
    <w:rsid w:val="00A4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40250-5A81-41BF-8114-186A36E5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1D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4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A41D7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41D7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A4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gesztely01</dc:creator>
  <cp:keywords/>
  <dc:description/>
  <cp:lastModifiedBy>gesztely01</cp:lastModifiedBy>
  <cp:revision>1</cp:revision>
  <dcterms:created xsi:type="dcterms:W3CDTF">2017-07-12T07:12:00Z</dcterms:created>
  <dcterms:modified xsi:type="dcterms:W3CDTF">2017-07-12T07:13:00Z</dcterms:modified>
</cp:coreProperties>
</file>