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025E4" w14:textId="77777777" w:rsidR="00BB2DBA" w:rsidRPr="00BB2DBA" w:rsidRDefault="00BB2DBA" w:rsidP="00BB2DBA">
      <w:pPr>
        <w:outlineLvl w:val="7"/>
        <w:rPr>
          <w:b/>
          <w:color w:val="000000"/>
          <w:sz w:val="24"/>
          <w:szCs w:val="24"/>
          <w:u w:val="single"/>
          <w:lang w:eastAsia="x-none"/>
        </w:rPr>
      </w:pPr>
      <w:r w:rsidRPr="00BB2DBA">
        <w:rPr>
          <w:b/>
          <w:color w:val="000000"/>
          <w:sz w:val="24"/>
          <w:szCs w:val="24"/>
          <w:u w:val="single"/>
          <w:lang w:eastAsia="x-none"/>
        </w:rPr>
        <w:t>Indokolás</w:t>
      </w:r>
    </w:p>
    <w:p w14:paraId="3ADA6D80" w14:textId="77777777" w:rsidR="00BB2DBA" w:rsidRPr="00BB2DBA" w:rsidRDefault="00BB2DBA" w:rsidP="00BB2DBA">
      <w:pPr>
        <w:jc w:val="both"/>
        <w:rPr>
          <w:color w:val="000000"/>
          <w:sz w:val="24"/>
          <w:szCs w:val="24"/>
        </w:rPr>
      </w:pPr>
    </w:p>
    <w:p w14:paraId="68A7A0E3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Az önkormányzat a 2019. évi költségvetését a 3 /2019. (</w:t>
      </w:r>
      <w:proofErr w:type="spellStart"/>
      <w:r w:rsidRPr="00BB2DBA">
        <w:rPr>
          <w:sz w:val="24"/>
          <w:szCs w:val="24"/>
        </w:rPr>
        <w:t>II</w:t>
      </w:r>
      <w:r w:rsidRPr="00BB2DBA">
        <w:rPr>
          <w:color w:val="000000"/>
          <w:sz w:val="24"/>
          <w:szCs w:val="24"/>
        </w:rPr>
        <w:t>.11</w:t>
      </w:r>
      <w:proofErr w:type="spellEnd"/>
      <w:r w:rsidRPr="00BB2DBA">
        <w:rPr>
          <w:color w:val="000000"/>
          <w:sz w:val="24"/>
          <w:szCs w:val="24"/>
        </w:rPr>
        <w:t>.) számú rendeletével hagyta jóvá.</w:t>
      </w:r>
    </w:p>
    <w:p w14:paraId="01D4190F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A jóváhagyott rendelet szerint információt szolgáltatott az államháztartás mérlegrendszerébe.</w:t>
      </w:r>
    </w:p>
    <w:p w14:paraId="40D1F9D7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Az önkormányzat a 3 /2019. (</w:t>
      </w:r>
      <w:proofErr w:type="spellStart"/>
      <w:r w:rsidRPr="00BB2DBA">
        <w:rPr>
          <w:color w:val="000000"/>
          <w:sz w:val="24"/>
          <w:szCs w:val="24"/>
        </w:rPr>
        <w:t>II.11</w:t>
      </w:r>
      <w:proofErr w:type="spellEnd"/>
      <w:r w:rsidRPr="00BB2DBA">
        <w:rPr>
          <w:color w:val="000000"/>
          <w:sz w:val="24"/>
          <w:szCs w:val="24"/>
        </w:rPr>
        <w:t>.) számú rendeletével 402 808 996 forint kiadási, 246 130 027 forint bevételi főösszeggel, és 156 678 969 forint költségvetési hiánnyal hagyta jóvá. A költségvetési belső finanszírozására szolgáló finanszírozási bevételeket az alábbi előirányzattal hagyta jóvá:</w:t>
      </w:r>
    </w:p>
    <w:p w14:paraId="526A7916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Előző évek költségvetési maradványának igénybevétele</w:t>
      </w:r>
    </w:p>
    <w:p w14:paraId="59B41283" w14:textId="77777777" w:rsidR="00BB2DBA" w:rsidRPr="00BB2DBA" w:rsidRDefault="00BB2DBA" w:rsidP="00BB2DBA">
      <w:pPr>
        <w:numPr>
          <w:ilvl w:val="0"/>
          <w:numId w:val="2"/>
        </w:numPr>
        <w:overflowPunct/>
        <w:autoSpaceDE/>
        <w:autoSpaceDN/>
        <w:adjustRightInd/>
        <w:ind w:right="-285"/>
        <w:jc w:val="both"/>
        <w:textAlignment w:val="auto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működési célra:</w:t>
      </w:r>
      <w:r w:rsidRPr="00BB2DBA">
        <w:rPr>
          <w:color w:val="000000"/>
          <w:sz w:val="24"/>
          <w:szCs w:val="24"/>
        </w:rPr>
        <w:tab/>
        <w:t>76 899 247 forint,</w:t>
      </w:r>
    </w:p>
    <w:p w14:paraId="6C371D67" w14:textId="77777777" w:rsidR="00BB2DBA" w:rsidRPr="00BB2DBA" w:rsidRDefault="00BB2DBA" w:rsidP="00BB2DBA">
      <w:pPr>
        <w:numPr>
          <w:ilvl w:val="0"/>
          <w:numId w:val="2"/>
        </w:numPr>
        <w:overflowPunct/>
        <w:autoSpaceDE/>
        <w:autoSpaceDN/>
        <w:adjustRightInd/>
        <w:ind w:right="-285"/>
        <w:jc w:val="both"/>
        <w:textAlignment w:val="auto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felhalmozási célra:</w:t>
      </w:r>
      <w:r w:rsidRPr="00BB2DBA">
        <w:rPr>
          <w:color w:val="000000"/>
          <w:sz w:val="24"/>
          <w:szCs w:val="24"/>
        </w:rPr>
        <w:tab/>
        <w:t>79 779 722 forint.</w:t>
      </w:r>
      <w:r w:rsidRPr="00BB2DBA">
        <w:rPr>
          <w:color w:val="000000"/>
          <w:sz w:val="24"/>
          <w:szCs w:val="24"/>
        </w:rPr>
        <w:tab/>
      </w:r>
    </w:p>
    <w:p w14:paraId="196FF540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</w:p>
    <w:p w14:paraId="77206366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 xml:space="preserve">A most beterjesztett költségvetési rendeletmódosítás, </w:t>
      </w:r>
      <w:r w:rsidRPr="00BB2DBA">
        <w:rPr>
          <w:b/>
          <w:color w:val="000000"/>
          <w:sz w:val="24"/>
          <w:szCs w:val="24"/>
        </w:rPr>
        <w:t>254 494</w:t>
      </w:r>
      <w:r w:rsidRPr="00BB2DBA">
        <w:rPr>
          <w:color w:val="000000"/>
          <w:sz w:val="24"/>
          <w:szCs w:val="24"/>
        </w:rPr>
        <w:t xml:space="preserve"> forint bevételi és kiadási előirányzat növekedést eredményezett.</w:t>
      </w:r>
    </w:p>
    <w:p w14:paraId="30924760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</w:p>
    <w:p w14:paraId="76C90982" w14:textId="77777777" w:rsidR="00BB2DBA" w:rsidRPr="00BB2DBA" w:rsidRDefault="00BB2DBA" w:rsidP="00BB2DBA">
      <w:pPr>
        <w:ind w:right="-285"/>
        <w:jc w:val="center"/>
        <w:rPr>
          <w:b/>
          <w:color w:val="000000"/>
          <w:sz w:val="24"/>
          <w:szCs w:val="24"/>
        </w:rPr>
      </w:pPr>
      <w:r w:rsidRPr="00BB2DBA">
        <w:rPr>
          <w:b/>
          <w:color w:val="000000"/>
          <w:sz w:val="24"/>
          <w:szCs w:val="24"/>
        </w:rPr>
        <w:t>Bevételi előirányzatok</w:t>
      </w:r>
    </w:p>
    <w:p w14:paraId="197EC60D" w14:textId="77777777" w:rsidR="00BB2DBA" w:rsidRPr="00BB2DBA" w:rsidRDefault="00BB2DBA" w:rsidP="00BB2DBA">
      <w:pPr>
        <w:ind w:right="-285"/>
        <w:jc w:val="center"/>
        <w:rPr>
          <w:b/>
          <w:color w:val="000000"/>
          <w:sz w:val="24"/>
          <w:szCs w:val="24"/>
        </w:rPr>
      </w:pPr>
    </w:p>
    <w:p w14:paraId="2F80A416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Ennek megfelelően módosul a költségvetési rendeletben a bevételi rovatrend közül:</w:t>
      </w:r>
    </w:p>
    <w:p w14:paraId="75239EC7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proofErr w:type="spellStart"/>
      <w:r w:rsidRPr="00BB2DBA">
        <w:rPr>
          <w:b/>
          <w:color w:val="000000"/>
          <w:sz w:val="24"/>
          <w:szCs w:val="24"/>
        </w:rPr>
        <w:t>B11</w:t>
      </w:r>
      <w:proofErr w:type="spellEnd"/>
      <w:r w:rsidRPr="00BB2DBA">
        <w:rPr>
          <w:b/>
          <w:color w:val="000000"/>
          <w:sz w:val="24"/>
          <w:szCs w:val="24"/>
        </w:rPr>
        <w:t xml:space="preserve">. Önkormányzat működési </w:t>
      </w:r>
      <w:proofErr w:type="gramStart"/>
      <w:r w:rsidRPr="00BB2DBA">
        <w:rPr>
          <w:b/>
          <w:color w:val="000000"/>
          <w:sz w:val="24"/>
          <w:szCs w:val="24"/>
        </w:rPr>
        <w:t>támogatása</w:t>
      </w:r>
      <w:r w:rsidRPr="00BB2DBA">
        <w:rPr>
          <w:color w:val="000000"/>
          <w:sz w:val="24"/>
          <w:szCs w:val="24"/>
        </w:rPr>
        <w:t xml:space="preserve">  </w:t>
      </w:r>
      <w:r w:rsidRPr="00BB2DBA">
        <w:rPr>
          <w:b/>
          <w:i/>
          <w:color w:val="000000"/>
          <w:sz w:val="24"/>
          <w:szCs w:val="24"/>
        </w:rPr>
        <w:t>254</w:t>
      </w:r>
      <w:proofErr w:type="gramEnd"/>
      <w:r w:rsidRPr="00BB2DBA">
        <w:rPr>
          <w:b/>
          <w:i/>
          <w:color w:val="000000"/>
          <w:sz w:val="24"/>
          <w:szCs w:val="24"/>
        </w:rPr>
        <w:t xml:space="preserve"> 503</w:t>
      </w:r>
      <w:r w:rsidRPr="00BB2DBA">
        <w:rPr>
          <w:i/>
          <w:color w:val="000000"/>
          <w:sz w:val="24"/>
          <w:szCs w:val="24"/>
        </w:rPr>
        <w:t xml:space="preserve"> </w:t>
      </w:r>
      <w:r w:rsidRPr="00BB2DBA">
        <w:rPr>
          <w:color w:val="000000"/>
          <w:sz w:val="24"/>
          <w:szCs w:val="24"/>
        </w:rPr>
        <w:t>forint előirányzattal nőtt.</w:t>
      </w:r>
    </w:p>
    <w:p w14:paraId="728F40BC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</w:p>
    <w:p w14:paraId="7CB363A7" w14:textId="77777777" w:rsidR="00BB2DBA" w:rsidRPr="00BB2DBA" w:rsidRDefault="00BB2DBA" w:rsidP="00BB2DBA">
      <w:pPr>
        <w:numPr>
          <w:ilvl w:val="0"/>
          <w:numId w:val="3"/>
        </w:numPr>
        <w:overflowPunct/>
        <w:autoSpaceDE/>
        <w:autoSpaceDN/>
        <w:adjustRightInd/>
        <w:ind w:right="-285"/>
        <w:jc w:val="both"/>
        <w:textAlignment w:val="auto"/>
        <w:rPr>
          <w:color w:val="000000"/>
          <w:sz w:val="24"/>
          <w:szCs w:val="24"/>
        </w:rPr>
      </w:pPr>
      <w:proofErr w:type="spellStart"/>
      <w:r w:rsidRPr="00BB2DBA">
        <w:rPr>
          <w:b/>
          <w:i/>
          <w:color w:val="000000"/>
          <w:sz w:val="24"/>
          <w:szCs w:val="24"/>
        </w:rPr>
        <w:t>B116</w:t>
      </w:r>
      <w:proofErr w:type="spellEnd"/>
      <w:r w:rsidRPr="00BB2DBA">
        <w:rPr>
          <w:b/>
          <w:i/>
          <w:color w:val="000000"/>
          <w:sz w:val="24"/>
          <w:szCs w:val="24"/>
        </w:rPr>
        <w:t xml:space="preserve">. Elszámolásból származó bevételek </w:t>
      </w:r>
      <w:r w:rsidRPr="00BB2DBA">
        <w:rPr>
          <w:color w:val="000000"/>
          <w:sz w:val="24"/>
          <w:szCs w:val="24"/>
        </w:rPr>
        <w:t xml:space="preserve">bevételi előirányzat </w:t>
      </w:r>
      <w:r w:rsidRPr="00BB2DBA">
        <w:rPr>
          <w:b/>
          <w:color w:val="000000"/>
          <w:sz w:val="24"/>
          <w:szCs w:val="24"/>
        </w:rPr>
        <w:t xml:space="preserve">254 503 </w:t>
      </w:r>
      <w:r w:rsidRPr="00BB2DBA">
        <w:rPr>
          <w:color w:val="000000"/>
          <w:sz w:val="24"/>
          <w:szCs w:val="24"/>
        </w:rPr>
        <w:t>forint előirányzattal emelkedett. Ez a 2019. évi beszámoló elfogadása után az önkormányzatot megillető összeg előirányzata.</w:t>
      </w:r>
    </w:p>
    <w:p w14:paraId="09030B83" w14:textId="77777777" w:rsidR="00BB2DBA" w:rsidRPr="00BB2DBA" w:rsidRDefault="00BB2DBA" w:rsidP="00BB2DBA">
      <w:pPr>
        <w:ind w:left="720" w:right="-285"/>
        <w:jc w:val="both"/>
        <w:rPr>
          <w:color w:val="000000"/>
          <w:sz w:val="24"/>
          <w:szCs w:val="24"/>
        </w:rPr>
      </w:pPr>
    </w:p>
    <w:p w14:paraId="54DD4E38" w14:textId="77777777" w:rsidR="00BB2DBA" w:rsidRPr="00BB2DBA" w:rsidRDefault="00BB2DBA" w:rsidP="00BB2DBA">
      <w:pPr>
        <w:ind w:right="-285"/>
        <w:jc w:val="both"/>
        <w:rPr>
          <w:b/>
          <w:color w:val="000000"/>
          <w:sz w:val="24"/>
          <w:szCs w:val="24"/>
        </w:rPr>
      </w:pPr>
      <w:proofErr w:type="spellStart"/>
      <w:r w:rsidRPr="00BB2DBA">
        <w:rPr>
          <w:b/>
          <w:i/>
          <w:color w:val="000000"/>
          <w:sz w:val="24"/>
          <w:szCs w:val="24"/>
        </w:rPr>
        <w:t>B4</w:t>
      </w:r>
      <w:proofErr w:type="spellEnd"/>
      <w:r w:rsidRPr="00BB2DBA">
        <w:rPr>
          <w:b/>
          <w:i/>
          <w:color w:val="000000"/>
          <w:sz w:val="24"/>
          <w:szCs w:val="24"/>
        </w:rPr>
        <w:t>. Működési bevételek előirányzata</w:t>
      </w:r>
      <w:r w:rsidRPr="00BB2DBA">
        <w:rPr>
          <w:color w:val="000000"/>
          <w:sz w:val="24"/>
          <w:szCs w:val="24"/>
        </w:rPr>
        <w:t xml:space="preserve"> </w:t>
      </w:r>
      <w:r w:rsidRPr="00BB2DBA">
        <w:rPr>
          <w:b/>
          <w:color w:val="000000"/>
          <w:sz w:val="24"/>
          <w:szCs w:val="24"/>
        </w:rPr>
        <w:t xml:space="preserve">9 </w:t>
      </w:r>
      <w:r w:rsidRPr="00BB2DBA">
        <w:rPr>
          <w:color w:val="000000"/>
          <w:sz w:val="24"/>
          <w:szCs w:val="24"/>
        </w:rPr>
        <w:t>forint előirányzattal csökkent az előírásoknak megfelelően.</w:t>
      </w:r>
    </w:p>
    <w:p w14:paraId="490EABEF" w14:textId="77777777" w:rsidR="00BB2DBA" w:rsidRPr="00BB2DBA" w:rsidRDefault="00BB2DBA" w:rsidP="00BB2DBA">
      <w:pPr>
        <w:ind w:right="-285"/>
        <w:jc w:val="center"/>
        <w:rPr>
          <w:b/>
          <w:i/>
          <w:color w:val="000000"/>
          <w:sz w:val="24"/>
          <w:szCs w:val="24"/>
        </w:rPr>
      </w:pPr>
    </w:p>
    <w:p w14:paraId="52E6D7C0" w14:textId="77777777" w:rsidR="00BB2DBA" w:rsidRPr="00BB2DBA" w:rsidRDefault="00BB2DBA" w:rsidP="00BB2DBA">
      <w:pPr>
        <w:ind w:right="-285"/>
        <w:jc w:val="center"/>
        <w:rPr>
          <w:b/>
          <w:iCs/>
          <w:color w:val="000000"/>
          <w:sz w:val="24"/>
          <w:szCs w:val="24"/>
        </w:rPr>
      </w:pPr>
      <w:r w:rsidRPr="00BB2DBA">
        <w:rPr>
          <w:b/>
          <w:iCs/>
          <w:color w:val="000000"/>
          <w:sz w:val="24"/>
          <w:szCs w:val="24"/>
        </w:rPr>
        <w:t>Kiadási előirányzatok</w:t>
      </w:r>
    </w:p>
    <w:p w14:paraId="7CEFB81D" w14:textId="77777777" w:rsidR="00BB2DBA" w:rsidRPr="00BB2DBA" w:rsidRDefault="00BB2DBA" w:rsidP="00BB2DBA">
      <w:pPr>
        <w:ind w:right="-285"/>
        <w:rPr>
          <w:b/>
          <w:i/>
          <w:color w:val="000000"/>
          <w:sz w:val="24"/>
          <w:szCs w:val="24"/>
        </w:rPr>
      </w:pPr>
    </w:p>
    <w:p w14:paraId="137728CC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Ennek megfelelően módosul a költségvetési rendeletben a kiadási rovatrend közül:</w:t>
      </w:r>
    </w:p>
    <w:p w14:paraId="5D64E21D" w14:textId="77777777" w:rsidR="00BB2DBA" w:rsidRPr="00BB2DBA" w:rsidRDefault="00BB2DBA" w:rsidP="00BB2DBA">
      <w:pPr>
        <w:ind w:right="-285"/>
        <w:jc w:val="both"/>
        <w:rPr>
          <w:b/>
          <w:i/>
          <w:color w:val="000000"/>
          <w:sz w:val="24"/>
          <w:szCs w:val="24"/>
        </w:rPr>
      </w:pPr>
    </w:p>
    <w:p w14:paraId="024361BC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proofErr w:type="spellStart"/>
      <w:r w:rsidRPr="00BB2DBA">
        <w:rPr>
          <w:b/>
          <w:i/>
          <w:color w:val="000000"/>
          <w:sz w:val="24"/>
          <w:szCs w:val="24"/>
        </w:rPr>
        <w:t>K3</w:t>
      </w:r>
      <w:proofErr w:type="spellEnd"/>
      <w:r w:rsidRPr="00BB2DBA">
        <w:rPr>
          <w:b/>
          <w:i/>
          <w:color w:val="000000"/>
          <w:sz w:val="24"/>
          <w:szCs w:val="24"/>
        </w:rPr>
        <w:t>. Dologi kiadások</w:t>
      </w:r>
      <w:r w:rsidRPr="00BB2DBA">
        <w:rPr>
          <w:color w:val="000000"/>
          <w:sz w:val="24"/>
          <w:szCs w:val="24"/>
        </w:rPr>
        <w:t xml:space="preserve"> előirányzata </w:t>
      </w:r>
      <w:r w:rsidRPr="00BB2DBA">
        <w:rPr>
          <w:b/>
          <w:color w:val="000000"/>
          <w:sz w:val="24"/>
          <w:szCs w:val="24"/>
        </w:rPr>
        <w:t xml:space="preserve">9 </w:t>
      </w:r>
      <w:r w:rsidRPr="00BB2DBA">
        <w:rPr>
          <w:color w:val="000000"/>
          <w:sz w:val="24"/>
          <w:szCs w:val="24"/>
        </w:rPr>
        <w:t>forint előirányzattal csökkent:</w:t>
      </w:r>
    </w:p>
    <w:p w14:paraId="6E090BB0" w14:textId="77777777" w:rsidR="00BB2DBA" w:rsidRPr="00BB2DBA" w:rsidRDefault="00BB2DBA" w:rsidP="00BB2DBA">
      <w:pPr>
        <w:ind w:right="-285"/>
        <w:jc w:val="both"/>
        <w:rPr>
          <w:b/>
          <w:color w:val="000000"/>
          <w:sz w:val="24"/>
          <w:szCs w:val="24"/>
        </w:rPr>
      </w:pPr>
    </w:p>
    <w:p w14:paraId="6C124716" w14:textId="77777777" w:rsidR="00BB2DBA" w:rsidRPr="00BB2DBA" w:rsidRDefault="00BB2DBA" w:rsidP="00BB2DBA">
      <w:pPr>
        <w:ind w:right="-285"/>
        <w:jc w:val="both"/>
        <w:rPr>
          <w:bCs/>
          <w:color w:val="000000"/>
          <w:sz w:val="24"/>
          <w:szCs w:val="24"/>
        </w:rPr>
      </w:pPr>
      <w:proofErr w:type="spellStart"/>
      <w:r w:rsidRPr="00BB2DBA">
        <w:rPr>
          <w:b/>
          <w:color w:val="000000"/>
          <w:sz w:val="24"/>
          <w:szCs w:val="24"/>
        </w:rPr>
        <w:t>K5</w:t>
      </w:r>
      <w:proofErr w:type="spellEnd"/>
      <w:r w:rsidRPr="00BB2DBA">
        <w:rPr>
          <w:b/>
          <w:color w:val="000000"/>
          <w:sz w:val="24"/>
          <w:szCs w:val="24"/>
        </w:rPr>
        <w:t xml:space="preserve">. Egyéb működési célú kiadások </w:t>
      </w:r>
      <w:r w:rsidRPr="00BB2DBA">
        <w:rPr>
          <w:bCs/>
          <w:color w:val="000000"/>
          <w:sz w:val="24"/>
          <w:szCs w:val="24"/>
        </w:rPr>
        <w:t>előirányzata 129 202 forinttal csökkent. A korábbi évek elszámolásának visszafizetését nem a 2019-es, hanem a 2020-</w:t>
      </w:r>
      <w:proofErr w:type="spellStart"/>
      <w:r w:rsidRPr="00BB2DBA">
        <w:rPr>
          <w:bCs/>
          <w:color w:val="000000"/>
          <w:sz w:val="24"/>
          <w:szCs w:val="24"/>
        </w:rPr>
        <w:t>as</w:t>
      </w:r>
      <w:proofErr w:type="spellEnd"/>
      <w:r w:rsidRPr="00BB2DBA">
        <w:rPr>
          <w:bCs/>
          <w:color w:val="000000"/>
          <w:sz w:val="24"/>
          <w:szCs w:val="24"/>
        </w:rPr>
        <w:t xml:space="preserve"> költségvetésben kell szerepeltetni.</w:t>
      </w:r>
    </w:p>
    <w:p w14:paraId="143E1A58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proofErr w:type="spellStart"/>
      <w:r w:rsidRPr="00BB2DBA">
        <w:rPr>
          <w:b/>
          <w:color w:val="000000"/>
          <w:sz w:val="24"/>
          <w:szCs w:val="24"/>
        </w:rPr>
        <w:t>K513</w:t>
      </w:r>
      <w:proofErr w:type="spellEnd"/>
      <w:r w:rsidRPr="00BB2DBA">
        <w:rPr>
          <w:b/>
          <w:color w:val="000000"/>
          <w:sz w:val="24"/>
          <w:szCs w:val="24"/>
        </w:rPr>
        <w:t>.</w:t>
      </w:r>
      <w:r w:rsidRPr="00BB2DBA">
        <w:rPr>
          <w:color w:val="000000"/>
          <w:sz w:val="24"/>
          <w:szCs w:val="24"/>
        </w:rPr>
        <w:t xml:space="preserve"> </w:t>
      </w:r>
      <w:r w:rsidRPr="00BB2DBA">
        <w:rPr>
          <w:b/>
          <w:color w:val="000000"/>
          <w:sz w:val="24"/>
          <w:szCs w:val="24"/>
        </w:rPr>
        <w:t xml:space="preserve">Általános tartalék </w:t>
      </w:r>
      <w:r w:rsidRPr="00BB2DBA">
        <w:rPr>
          <w:color w:val="000000"/>
          <w:sz w:val="24"/>
          <w:szCs w:val="24"/>
        </w:rPr>
        <w:t xml:space="preserve">előirányzata </w:t>
      </w:r>
      <w:r w:rsidRPr="00BB2DBA">
        <w:rPr>
          <w:b/>
          <w:color w:val="000000"/>
          <w:sz w:val="24"/>
          <w:szCs w:val="24"/>
        </w:rPr>
        <w:t xml:space="preserve">383 705 </w:t>
      </w:r>
      <w:r w:rsidRPr="00BB2DBA">
        <w:rPr>
          <w:color w:val="000000"/>
          <w:sz w:val="24"/>
          <w:szCs w:val="24"/>
        </w:rPr>
        <w:t>forint előirányzattal nőtt a bevételi előirányzat növekedése és a dologi kiadások csökkenése miatt.</w:t>
      </w:r>
    </w:p>
    <w:p w14:paraId="2D85657B" w14:textId="77777777" w:rsidR="00BB2D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</w:p>
    <w:p w14:paraId="377E1098" w14:textId="16F2FD50" w:rsidR="00D841BA" w:rsidRPr="00BB2DBA" w:rsidRDefault="00BB2DBA" w:rsidP="00BB2DBA">
      <w:pPr>
        <w:ind w:right="-285"/>
        <w:jc w:val="both"/>
        <w:rPr>
          <w:color w:val="000000"/>
          <w:sz w:val="24"/>
          <w:szCs w:val="24"/>
        </w:rPr>
      </w:pPr>
      <w:r w:rsidRPr="00BB2DBA">
        <w:rPr>
          <w:color w:val="000000"/>
          <w:sz w:val="24"/>
          <w:szCs w:val="24"/>
        </w:rPr>
        <w:t>A költségvetési rendelet 1.1., 1.2., 2.1., 9.1., 9.1.1., 9.2., számú mellékleteit érintette ezen rendelet módosítás.</w:t>
      </w:r>
    </w:p>
    <w:sectPr w:rsidR="00D841BA" w:rsidRPr="00BB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6CA"/>
    <w:multiLevelType w:val="hybridMultilevel"/>
    <w:tmpl w:val="50286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2139"/>
    <w:multiLevelType w:val="hybridMultilevel"/>
    <w:tmpl w:val="F32ED48A"/>
    <w:lvl w:ilvl="0" w:tplc="E104E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60C41"/>
    <w:multiLevelType w:val="hybridMultilevel"/>
    <w:tmpl w:val="7B1EC9D4"/>
    <w:lvl w:ilvl="0" w:tplc="0BDC4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BA"/>
    <w:rsid w:val="00560D33"/>
    <w:rsid w:val="005B49F5"/>
    <w:rsid w:val="00981DC7"/>
    <w:rsid w:val="00BB2DBA"/>
    <w:rsid w:val="00D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8D0D"/>
  <w15:chartTrackingRefBased/>
  <w15:docId w15:val="{0CA8D839-EF0E-47EC-B17F-6B27FA8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41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981DC7"/>
    <w:pPr>
      <w:keepNext/>
      <w:overflowPunct/>
      <w:autoSpaceDE/>
      <w:autoSpaceDN/>
      <w:adjustRightInd/>
      <w:textAlignment w:val="auto"/>
      <w:outlineLvl w:val="0"/>
    </w:pPr>
    <w:rPr>
      <w:rFonts w:eastAsia="MS Mincho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841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981DC7"/>
    <w:rPr>
      <w:rFonts w:ascii="Times New Roman" w:eastAsia="MS Mincho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981DC7"/>
    <w:pPr>
      <w:overflowPunct/>
      <w:autoSpaceDE/>
      <w:autoSpaceDN/>
      <w:adjustRightInd/>
      <w:jc w:val="both"/>
      <w:textAlignment w:val="auto"/>
    </w:pPr>
    <w:rPr>
      <w:rFonts w:eastAsia="MS Mincho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981DC7"/>
    <w:rPr>
      <w:rFonts w:ascii="Times New Roman" w:eastAsia="MS Mincho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981D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Rcsostblzat">
    <w:name w:val="Table Grid"/>
    <w:basedOn w:val="Normltblzat"/>
    <w:rsid w:val="00981DC7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7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3</cp:revision>
  <dcterms:created xsi:type="dcterms:W3CDTF">2020-07-02T09:09:00Z</dcterms:created>
  <dcterms:modified xsi:type="dcterms:W3CDTF">2020-07-02T09:09:00Z</dcterms:modified>
</cp:coreProperties>
</file>