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B2" w:rsidRPr="00615AC3" w:rsidRDefault="00EB31B2" w:rsidP="00EB31B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9. függelék </w:t>
      </w:r>
    </w:p>
    <w:p w:rsidR="00EB31B2" w:rsidRPr="00615AC3" w:rsidRDefault="00EB31B2" w:rsidP="00EB31B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EB31B2" w:rsidRPr="00615AC3" w:rsidRDefault="00EB31B2" w:rsidP="00EB31B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EB31B2" w:rsidRPr="00615AC3" w:rsidRDefault="00EB31B2" w:rsidP="00EB31B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</w:rPr>
      </w:pPr>
      <w:r w:rsidRPr="00615AC3">
        <w:rPr>
          <w:rFonts w:ascii="Times New Roman" w:hAnsi="Times New Roman" w:cs="Times New Roman"/>
          <w:color w:val="222222"/>
        </w:rPr>
        <w:t xml:space="preserve">Villanyvezetékek védőtávolságára vonatkozó előírások közül </w:t>
      </w:r>
      <w:r w:rsidRPr="00615AC3">
        <w:rPr>
          <w:rFonts w:ascii="Times New Roman" w:hAnsi="Times New Roman" w:cs="Times New Roman"/>
        </w:rPr>
        <w:t>különösen az alábbi jogszabályokat, illetve a kiemelt jogszabályi rendelkezéseket kell figyelembe venni:</w:t>
      </w:r>
    </w:p>
    <w:p w:rsidR="00EB31B2" w:rsidRPr="00615AC3" w:rsidRDefault="00EB31B2" w:rsidP="00EB31B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</w:rPr>
      </w:pPr>
    </w:p>
    <w:p w:rsidR="00EB31B2" w:rsidRPr="00615AC3" w:rsidRDefault="00EB31B2" w:rsidP="00EB31B2">
      <w:pPr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A </w:t>
      </w:r>
      <w:proofErr w:type="spellStart"/>
      <w:r w:rsidRPr="00615AC3">
        <w:rPr>
          <w:rFonts w:ascii="Times New Roman" w:hAnsi="Times New Roman" w:cs="Times New Roman"/>
          <w:b/>
          <w:bCs/>
          <w:color w:val="000000"/>
          <w:sz w:val="19"/>
          <w:szCs w:val="19"/>
        </w:rPr>
        <w:t>villamosművek</w:t>
      </w:r>
      <w:proofErr w:type="spellEnd"/>
      <w:r w:rsidRPr="00615AC3">
        <w:rPr>
          <w:rFonts w:ascii="Times New Roman" w:hAnsi="Times New Roman" w:cs="Times New Roman"/>
          <w:b/>
          <w:bCs/>
          <w:color w:val="000000"/>
          <w:sz w:val="19"/>
          <w:szCs w:val="19"/>
        </w:rPr>
        <w:t>, valamint a termelői, magán- és közvetlen vezetékek biztonsági övezetéről szóló 2/2013. (I. 22.) NGM rendelet</w:t>
      </w:r>
      <w:bookmarkStart w:id="0" w:name="pr2"/>
      <w:bookmarkEnd w:id="0"/>
      <w:r w:rsidRPr="00615AC3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:rsidR="00EB31B2" w:rsidRPr="00615AC3" w:rsidRDefault="00EB31B2" w:rsidP="00EB31B2">
      <w:pPr>
        <w:pStyle w:val="NormlWeb"/>
        <w:spacing w:before="0" w:beforeAutospacing="0" w:after="200" w:afterAutospacing="0"/>
        <w:ind w:right="102"/>
        <w:jc w:val="center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4. A biztonsági övezet terjedelme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  <w:bookmarkStart w:id="1" w:name="BM6"/>
      <w:bookmarkEnd w:id="1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6. § </w:t>
      </w:r>
      <w:r w:rsidRPr="00615AC3">
        <w:rPr>
          <w:rFonts w:ascii="Times New Roman" w:hAnsi="Times New Roman" w:cs="Times New Roman"/>
          <w:sz w:val="19"/>
          <w:szCs w:val="19"/>
        </w:rPr>
        <w:t xml:space="preserve">(1) Föld feletti vezeték - ideértve a vezeték tartószerkezetén (oszlopán) elhelyezett átalakító és kapcsoló berendezést is az </w:t>
      </w:r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a) </w:t>
      </w:r>
      <w:r w:rsidRPr="00615AC3">
        <w:rPr>
          <w:rFonts w:ascii="Times New Roman" w:hAnsi="Times New Roman" w:cs="Times New Roman"/>
          <w:sz w:val="19"/>
          <w:szCs w:val="19"/>
        </w:rPr>
        <w:t xml:space="preserve">pont </w:t>
      </w:r>
      <w:proofErr w:type="spell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af</w:t>
      </w:r>
      <w:proofErr w:type="spell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 xml:space="preserve">alpontjában és a </w:t>
      </w:r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b) </w:t>
      </w:r>
      <w:r w:rsidRPr="00615AC3">
        <w:rPr>
          <w:rFonts w:ascii="Times New Roman" w:hAnsi="Times New Roman" w:cs="Times New Roman"/>
          <w:sz w:val="19"/>
          <w:szCs w:val="19"/>
        </w:rPr>
        <w:t>pontban foglalt eltéréssel - biztonsági övezete a vezeték névleges feszültségétől függően, a vezeték mindkét oldalán a szélső, nyugalomban lévő áramvezetőktől vízszintesen és nyomvonalukra merőlegesen mért, következő távolságokra lévő függőleges síkokig terjed: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36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föld feletti szabadvezeték esetében: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36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aa</w:t>
      </w:r>
      <w:proofErr w:type="spell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500 kV-ot meghaladó névleges feszültségszint felett 40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36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ab</w:t>
      </w:r>
      <w:proofErr w:type="gram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300 kV felett 500 kV névleges feszültségszintig 28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36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ac</w:t>
      </w:r>
      <w:proofErr w:type="spell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200 kV felett 300 kV névleges feszültségszintig 18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36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ad</w:t>
      </w:r>
      <w:proofErr w:type="gram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35 kV felett 200 kV névleges feszültségszintig 13 méter,</w:t>
      </w:r>
    </w:p>
    <w:p w:rsidR="00EB31B2" w:rsidRPr="00615AC3" w:rsidRDefault="00EB31B2" w:rsidP="00EB31B2">
      <w:pPr>
        <w:pStyle w:val="NormlWeb"/>
        <w:tabs>
          <w:tab w:val="left" w:pos="180"/>
        </w:tabs>
        <w:spacing w:before="0" w:beforeAutospacing="0" w:after="0" w:afterAutospacing="0"/>
        <w:ind w:left="360" w:right="10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ae</w:t>
      </w:r>
      <w:proofErr w:type="spell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1 kV felett 35 kV névleges feszültségszintig 5 méter, de a vezeték azon szakaszán, amely a belterületre és a fokozott biztonságra vonatkozó előírásainak megtartásával létesült, 2,5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left="360" w:right="10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af</w:t>
      </w:r>
      <w:proofErr w:type="spell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legfeljebb 1 kV névleges feszültségszintig 1 méter, a vezeték tartószerkezetén (oszlopán) elhelyezett átalakító és kapcsoló berendezés esetében 2,5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left="360" w:right="10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b) </w:t>
      </w:r>
      <w:r w:rsidRPr="00615AC3">
        <w:rPr>
          <w:rFonts w:ascii="Times New Roman" w:hAnsi="Times New Roman" w:cs="Times New Roman"/>
          <w:sz w:val="19"/>
          <w:szCs w:val="19"/>
        </w:rPr>
        <w:t>föld feletti szigetelt vezeték és univerzális kábel esetében 0,5 méter, a szigetelt vezeték és univerzális kábel tartószerkezetén (oszlopán) elhelyezett átalakító és kapcsoló berendezés esetében 2,5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left="360" w:right="10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c) </w:t>
      </w:r>
      <w:r w:rsidRPr="00615AC3">
        <w:rPr>
          <w:rFonts w:ascii="Times New Roman" w:hAnsi="Times New Roman" w:cs="Times New Roman"/>
          <w:sz w:val="19"/>
          <w:szCs w:val="19"/>
        </w:rPr>
        <w:t>föld feletti burkolt vezeték esetében legfeljebb 25 kV névleges feszültségszintig 2,5 méter és 1,25 méter a vezeték azon szakaszán, amely a belterületre és a fokozott biztonságra vagy a különleges biztonságra vonatkozó előírásoknak megtartásával létesült,</w:t>
      </w:r>
    </w:p>
    <w:p w:rsidR="00EB31B2" w:rsidRPr="00615AC3" w:rsidRDefault="00EB31B2" w:rsidP="00EB31B2">
      <w:pPr>
        <w:pStyle w:val="NormlWeb"/>
        <w:spacing w:before="0" w:beforeAutospacing="0" w:after="120" w:afterAutospacing="0"/>
        <w:ind w:left="357" w:right="102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d) </w:t>
      </w:r>
      <w:r w:rsidRPr="00615AC3">
        <w:rPr>
          <w:rFonts w:ascii="Times New Roman" w:hAnsi="Times New Roman" w:cs="Times New Roman"/>
          <w:sz w:val="19"/>
          <w:szCs w:val="19"/>
        </w:rPr>
        <w:t xml:space="preserve">föld feletti vezeték végpontján a biztonsági övezet a végponttól vízszintesen minden irányban mért, a feszültségszinttől függően az </w:t>
      </w:r>
      <w:r w:rsidRPr="00615AC3">
        <w:rPr>
          <w:rFonts w:ascii="Times New Roman" w:hAnsi="Times New Roman" w:cs="Times New Roman"/>
          <w:i/>
          <w:iCs/>
          <w:sz w:val="19"/>
          <w:szCs w:val="19"/>
        </w:rPr>
        <w:t>a)</w:t>
      </w:r>
      <w:r w:rsidRPr="00615AC3">
        <w:rPr>
          <w:rFonts w:ascii="Times New Roman" w:hAnsi="Times New Roman" w:cs="Times New Roman"/>
          <w:sz w:val="19"/>
          <w:szCs w:val="19"/>
        </w:rPr>
        <w:t xml:space="preserve">, </w:t>
      </w:r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b) </w:t>
      </w:r>
      <w:r w:rsidRPr="00615AC3">
        <w:rPr>
          <w:rFonts w:ascii="Times New Roman" w:hAnsi="Times New Roman" w:cs="Times New Roman"/>
          <w:sz w:val="19"/>
          <w:szCs w:val="19"/>
        </w:rPr>
        <w:t xml:space="preserve">és </w:t>
      </w:r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c) </w:t>
      </w:r>
      <w:r w:rsidRPr="00615AC3">
        <w:rPr>
          <w:rFonts w:ascii="Times New Roman" w:hAnsi="Times New Roman" w:cs="Times New Roman"/>
          <w:sz w:val="19"/>
          <w:szCs w:val="19"/>
        </w:rPr>
        <w:t>pontban meghatározott távolságokra lévő függőleges síkokig is kiterjed.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(2) Földben elhelyezett vezeték biztonsági övezete mindkét oldalon a vezeték névleges feszültségétől függően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left="360" w:right="10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35 kV-nál nem nagyobb névleges feszültség esetében 1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left="360" w:right="100"/>
        <w:jc w:val="both"/>
        <w:rPr>
          <w:rFonts w:ascii="Times New Roman" w:hAnsi="Times New Roman" w:cs="Times New Roman"/>
          <w:sz w:val="19"/>
          <w:szCs w:val="19"/>
        </w:rPr>
      </w:pPr>
      <w:bookmarkStart w:id="2" w:name="pr55"/>
      <w:bookmarkEnd w:id="2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b) </w:t>
      </w:r>
      <w:r w:rsidRPr="00615AC3">
        <w:rPr>
          <w:rFonts w:ascii="Times New Roman" w:hAnsi="Times New Roman" w:cs="Times New Roman"/>
          <w:sz w:val="19"/>
          <w:szCs w:val="19"/>
        </w:rPr>
        <w:t>35 kV-nál nagyobb névleges feszültség esetében 1,5 méter,</w:t>
      </w:r>
    </w:p>
    <w:p w:rsidR="00EB31B2" w:rsidRPr="00615AC3" w:rsidRDefault="00EB31B2" w:rsidP="00EB31B2">
      <w:pPr>
        <w:pStyle w:val="NormlWeb"/>
        <w:spacing w:before="0" w:beforeAutospacing="0" w:after="120" w:afterAutospacing="0"/>
        <w:ind w:left="357" w:right="102"/>
        <w:jc w:val="both"/>
        <w:rPr>
          <w:rFonts w:ascii="Times New Roman" w:hAnsi="Times New Roman" w:cs="Times New Roman"/>
          <w:sz w:val="19"/>
          <w:szCs w:val="19"/>
        </w:rPr>
      </w:pPr>
      <w:bookmarkStart w:id="3" w:name="pr56"/>
      <w:bookmarkEnd w:id="3"/>
      <w:proofErr w:type="gramStart"/>
      <w:r w:rsidRPr="00615AC3">
        <w:rPr>
          <w:rFonts w:ascii="Times New Roman" w:hAnsi="Times New Roman" w:cs="Times New Roman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vezeték szélső pontjától vízszintesen és nyomvonalára merőlegesen mért távolságokra lévő függőleges síkokig terjed.</w:t>
      </w:r>
    </w:p>
    <w:p w:rsidR="00EB31B2" w:rsidRPr="00615AC3" w:rsidRDefault="00EB31B2" w:rsidP="00EB31B2">
      <w:pPr>
        <w:pStyle w:val="NormlWeb"/>
        <w:spacing w:before="0" w:beforeAutospacing="0" w:after="120" w:afterAutospacing="0"/>
        <w:ind w:right="102"/>
        <w:jc w:val="both"/>
        <w:rPr>
          <w:rFonts w:ascii="Times New Roman" w:hAnsi="Times New Roman" w:cs="Times New Roman"/>
          <w:sz w:val="19"/>
          <w:szCs w:val="19"/>
        </w:rPr>
      </w:pPr>
      <w:bookmarkStart w:id="4" w:name="pr57"/>
      <w:bookmarkEnd w:id="4"/>
      <w:r w:rsidRPr="00615AC3">
        <w:rPr>
          <w:rFonts w:ascii="Times New Roman" w:hAnsi="Times New Roman" w:cs="Times New Roman"/>
          <w:sz w:val="19"/>
          <w:szCs w:val="19"/>
        </w:rPr>
        <w:t>(3) Földben elhelyezett vezeték biztonsági övezete mechanikus védelmet biztosító védőszerkezetben (védőcsőben, kábelcsatornában) elhelyezve a védőszerkezet szélétől mért 0,2 méterig terjed. Több védőszerkezet esetében a távolságot a szélső szerkezettől kell megtartani.</w:t>
      </w:r>
    </w:p>
    <w:p w:rsidR="00EB31B2" w:rsidRPr="00615AC3" w:rsidRDefault="00EB31B2" w:rsidP="00EB31B2">
      <w:pPr>
        <w:pStyle w:val="NormlWeb"/>
        <w:spacing w:before="0" w:beforeAutospacing="0" w:after="120" w:afterAutospacing="0"/>
        <w:ind w:right="102"/>
        <w:jc w:val="both"/>
        <w:rPr>
          <w:rFonts w:ascii="Times New Roman" w:hAnsi="Times New Roman" w:cs="Times New Roman"/>
          <w:sz w:val="19"/>
          <w:szCs w:val="19"/>
        </w:rPr>
      </w:pPr>
      <w:bookmarkStart w:id="5" w:name="pr58"/>
      <w:bookmarkEnd w:id="5"/>
      <w:r w:rsidRPr="00615AC3">
        <w:rPr>
          <w:rFonts w:ascii="Times New Roman" w:hAnsi="Times New Roman" w:cs="Times New Roman"/>
          <w:sz w:val="19"/>
          <w:szCs w:val="19"/>
        </w:rPr>
        <w:t>(4) Falra szerelt szigetelt vezeték biztonsági övezete a vezeték köpenyétől a légtér felé mért 0,5 méterig terjed.</w:t>
      </w:r>
    </w:p>
    <w:p w:rsidR="00EB31B2" w:rsidRPr="00615AC3" w:rsidRDefault="00EB31B2" w:rsidP="00EB31B2">
      <w:pPr>
        <w:pStyle w:val="NormlWeb"/>
        <w:spacing w:before="0" w:beforeAutospacing="0" w:after="200" w:afterAutospacing="0"/>
        <w:ind w:right="102"/>
        <w:jc w:val="both"/>
        <w:rPr>
          <w:rFonts w:ascii="Times New Roman" w:hAnsi="Times New Roman" w:cs="Times New Roman"/>
          <w:sz w:val="19"/>
          <w:szCs w:val="19"/>
        </w:rPr>
      </w:pPr>
      <w:bookmarkStart w:id="6" w:name="pr59"/>
      <w:bookmarkEnd w:id="6"/>
      <w:r w:rsidRPr="00615AC3">
        <w:rPr>
          <w:rFonts w:ascii="Times New Roman" w:hAnsi="Times New Roman" w:cs="Times New Roman"/>
          <w:sz w:val="19"/>
          <w:szCs w:val="19"/>
        </w:rPr>
        <w:t>(5) Alépítményen, építményen belül, külön légtérben elhelyezett szigetelt vezeték biztonsági övezete a vezeték légterét határoló falak külső felületéig terjed.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  <w:bookmarkStart w:id="7" w:name="BM7"/>
      <w:bookmarkStart w:id="8" w:name="pr60"/>
      <w:bookmarkEnd w:id="7"/>
      <w:bookmarkEnd w:id="8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7. § </w:t>
      </w:r>
      <w:r w:rsidRPr="00615AC3">
        <w:rPr>
          <w:rFonts w:ascii="Times New Roman" w:hAnsi="Times New Roman" w:cs="Times New Roman"/>
          <w:sz w:val="19"/>
          <w:szCs w:val="19"/>
        </w:rPr>
        <w:t>(1) A szabadtéri elhelyezésű, tartószerkezeten elhelyezett átalakító és kapcsoló berendezés biztonsági övezete a berendezés szélétől vízszintesen: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180"/>
        <w:jc w:val="both"/>
        <w:rPr>
          <w:rFonts w:ascii="Times New Roman" w:hAnsi="Times New Roman" w:cs="Times New Roman"/>
          <w:sz w:val="19"/>
          <w:szCs w:val="19"/>
        </w:rPr>
      </w:pPr>
      <w:bookmarkStart w:id="9" w:name="pr61"/>
      <w:bookmarkEnd w:id="9"/>
      <w:proofErr w:type="gramStart"/>
      <w:r w:rsidRPr="00615AC3">
        <w:rPr>
          <w:rFonts w:ascii="Times New Roman" w:hAnsi="Times New Roman" w:cs="Times New Roman"/>
          <w:i/>
          <w:iCs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) </w:t>
      </w:r>
      <w:r w:rsidRPr="00615AC3">
        <w:rPr>
          <w:rFonts w:ascii="Times New Roman" w:hAnsi="Times New Roman" w:cs="Times New Roman"/>
          <w:sz w:val="19"/>
          <w:szCs w:val="19"/>
        </w:rPr>
        <w:t>35 kV névleges feszültségszintig 5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180"/>
        <w:jc w:val="both"/>
        <w:rPr>
          <w:rFonts w:ascii="Times New Roman" w:hAnsi="Times New Roman" w:cs="Times New Roman"/>
          <w:sz w:val="19"/>
          <w:szCs w:val="19"/>
        </w:rPr>
      </w:pPr>
      <w:bookmarkStart w:id="10" w:name="pr62"/>
      <w:bookmarkEnd w:id="10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b) </w:t>
      </w:r>
      <w:r w:rsidRPr="00615AC3">
        <w:rPr>
          <w:rFonts w:ascii="Times New Roman" w:hAnsi="Times New Roman" w:cs="Times New Roman"/>
          <w:sz w:val="19"/>
          <w:szCs w:val="19"/>
        </w:rPr>
        <w:t>35 kV felett 500 kV névleges feszültségszintig 10 méter,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180"/>
        <w:jc w:val="both"/>
        <w:rPr>
          <w:rFonts w:ascii="Times New Roman" w:hAnsi="Times New Roman" w:cs="Times New Roman"/>
          <w:sz w:val="19"/>
          <w:szCs w:val="19"/>
        </w:rPr>
      </w:pPr>
      <w:bookmarkStart w:id="11" w:name="pr63"/>
      <w:bookmarkEnd w:id="11"/>
      <w:r w:rsidRPr="00615AC3">
        <w:rPr>
          <w:rFonts w:ascii="Times New Roman" w:hAnsi="Times New Roman" w:cs="Times New Roman"/>
          <w:i/>
          <w:iCs/>
          <w:sz w:val="19"/>
          <w:szCs w:val="19"/>
        </w:rPr>
        <w:t xml:space="preserve">c) </w:t>
      </w:r>
      <w:r w:rsidRPr="00615AC3">
        <w:rPr>
          <w:rFonts w:ascii="Times New Roman" w:hAnsi="Times New Roman" w:cs="Times New Roman"/>
          <w:sz w:val="19"/>
          <w:szCs w:val="19"/>
        </w:rPr>
        <w:t>500 kV névleges feszültségszint felett 15 méter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 w:firstLine="180"/>
        <w:jc w:val="both"/>
        <w:rPr>
          <w:rFonts w:ascii="Times New Roman" w:hAnsi="Times New Roman" w:cs="Times New Roman"/>
          <w:sz w:val="19"/>
          <w:szCs w:val="19"/>
        </w:rPr>
      </w:pPr>
      <w:bookmarkStart w:id="12" w:name="pr64"/>
      <w:bookmarkEnd w:id="12"/>
      <w:proofErr w:type="gramStart"/>
      <w:r w:rsidRPr="00615AC3">
        <w:rPr>
          <w:rFonts w:ascii="Times New Roman" w:hAnsi="Times New Roman" w:cs="Times New Roman"/>
          <w:sz w:val="19"/>
          <w:szCs w:val="19"/>
        </w:rPr>
        <w:t>távolságban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lévő függőleges síkokig terjed.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  <w:bookmarkStart w:id="13" w:name="pr65"/>
      <w:bookmarkEnd w:id="13"/>
      <w:r w:rsidRPr="00615AC3">
        <w:rPr>
          <w:rFonts w:ascii="Times New Roman" w:hAnsi="Times New Roman" w:cs="Times New Roman"/>
          <w:sz w:val="19"/>
          <w:szCs w:val="19"/>
        </w:rPr>
        <w:t xml:space="preserve">(2) Föld feletti vagy </w:t>
      </w:r>
      <w:proofErr w:type="gramStart"/>
      <w:r w:rsidRPr="00615AC3">
        <w:rPr>
          <w:rFonts w:ascii="Times New Roman" w:hAnsi="Times New Roman" w:cs="Times New Roman"/>
          <w:sz w:val="19"/>
          <w:szCs w:val="19"/>
        </w:rPr>
        <w:t>föld alatti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épületben, építményben elhelyezett átalakító és kapcsoló berendezés biztonsági övezetét a berendezés falai határolják.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</w:p>
    <w:p w:rsidR="00EB31B2" w:rsidRPr="00615AC3" w:rsidRDefault="00EB31B2" w:rsidP="00EB31B2">
      <w:pPr>
        <w:pStyle w:val="NormlWeb"/>
        <w:spacing w:before="0" w:beforeAutospacing="0" w:after="200" w:afterAutospacing="0"/>
        <w:ind w:right="102"/>
        <w:jc w:val="both"/>
        <w:rPr>
          <w:rFonts w:ascii="Times New Roman" w:hAnsi="Times New Roman" w:cs="Times New Roman"/>
          <w:sz w:val="19"/>
          <w:szCs w:val="19"/>
        </w:rPr>
      </w:pPr>
      <w:bookmarkStart w:id="14" w:name="pr66"/>
      <w:bookmarkEnd w:id="14"/>
      <w:r w:rsidRPr="00615AC3">
        <w:rPr>
          <w:rFonts w:ascii="Times New Roman" w:hAnsi="Times New Roman" w:cs="Times New Roman"/>
          <w:sz w:val="19"/>
          <w:szCs w:val="19"/>
        </w:rPr>
        <w:t>(3) Az (1) és (2) bekezdésben említett távolságoktól az építésügyi hatóság a 17. §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-ban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foglaltak szerint eltérést engedélyezhet.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  <w:bookmarkStart w:id="15" w:name="BM8"/>
      <w:bookmarkStart w:id="16" w:name="pr67"/>
      <w:bookmarkEnd w:id="15"/>
      <w:bookmarkEnd w:id="16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8. § </w:t>
      </w:r>
      <w:r w:rsidRPr="00615AC3">
        <w:rPr>
          <w:rFonts w:ascii="Times New Roman" w:hAnsi="Times New Roman" w:cs="Times New Roman"/>
          <w:sz w:val="19"/>
          <w:szCs w:val="19"/>
        </w:rPr>
        <w:t xml:space="preserve">(1) A földben elhelyezett vezeték nyomvonalát külterületen minden irányváltoztatási ponton, valamint egyenes nyomvonalszakaszokon legalább 500 méterenként - kivéve a közterületen lévő utakat és tereket - a föld felszínén jól látható módon és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időtállóan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meg kell jelölni. Mezőgazdasági művelés alatt álló területeken és földutakon olyan jelölés </w:t>
      </w:r>
      <w:r w:rsidRPr="00615AC3">
        <w:rPr>
          <w:rFonts w:ascii="Times New Roman" w:hAnsi="Times New Roman" w:cs="Times New Roman"/>
          <w:sz w:val="19"/>
          <w:szCs w:val="19"/>
        </w:rPr>
        <w:lastRenderedPageBreak/>
        <w:t>is alkalmazható, amely nem közvetlenül a nyomvonalon, annak töréspontjain van elhelyezve, hanem annak közelében, és amely jelölés a nyomvonalra vonatkozó lényeges információkat tartalmazza. Amennyiben a nyomvonal jelölésére szolgáló műtárgy elhelyezése termőföld igénybevételével valósítható meg, a termőföld védelméről szóló 2007. évi CXXIX. törvény 9. §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-ában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foglaltak szerint a műtárgy létesítéséhez az ingatlanügyi hatóság termőföld más célú hasznosítására vonatkozó előzetesen engedélye szükséges.</w:t>
      </w: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  <w:bookmarkStart w:id="17" w:name="pr68"/>
      <w:bookmarkEnd w:id="17"/>
      <w:r w:rsidRPr="00615AC3">
        <w:rPr>
          <w:rFonts w:ascii="Times New Roman" w:hAnsi="Times New Roman" w:cs="Times New Roman"/>
          <w:sz w:val="19"/>
          <w:szCs w:val="19"/>
        </w:rPr>
        <w:t xml:space="preserve">(2) A települések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kül-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és belterületén, a föld alatt elhelyezett vezetékek vízszintes és magassági töréspontjait, valamint a földfelszín magasságát numerikus módszerrel, EOV koordinátarendszerben kell bemérni. A bemérés során a földalatti vezeték közvetlen környezetében lévő, és állandó módon megjelölt tereptárgyakra, azok töréspontjaira,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tömbhatárpontokra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ellenőrző méréseket kell végezni.</w:t>
      </w:r>
      <w:bookmarkStart w:id="18" w:name="BM9"/>
      <w:bookmarkStart w:id="19" w:name="pr69"/>
      <w:bookmarkEnd w:id="18"/>
      <w:bookmarkEnd w:id="19"/>
    </w:p>
    <w:p w:rsidR="00EB31B2" w:rsidRPr="00615AC3" w:rsidRDefault="00EB31B2" w:rsidP="00EB31B2">
      <w:pPr>
        <w:pStyle w:val="NormlWeb"/>
        <w:spacing w:before="0" w:beforeAutospacing="0" w:after="0" w:afterAutospacing="0"/>
        <w:ind w:right="100"/>
        <w:jc w:val="both"/>
        <w:rPr>
          <w:rFonts w:ascii="Times New Roman" w:hAnsi="Times New Roman" w:cs="Times New Roman"/>
          <w:sz w:val="19"/>
          <w:szCs w:val="19"/>
        </w:rPr>
      </w:pPr>
    </w:p>
    <w:p w:rsidR="00D07554" w:rsidRDefault="00D07554">
      <w:bookmarkStart w:id="20" w:name="_GoBack"/>
      <w:bookmarkEnd w:id="20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B2"/>
    <w:rsid w:val="00D07554"/>
    <w:rsid w:val="00E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F3D56-15B9-4941-974F-8B237B6C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31B2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B31B2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2020-07-15T09:39:00Z</dcterms:created>
  <dcterms:modified xsi:type="dcterms:W3CDTF">2020-07-15T09:39:00Z</dcterms:modified>
</cp:coreProperties>
</file>