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7" w:rsidRDefault="00CC0317" w:rsidP="00CC0317">
      <w:pPr>
        <w:autoSpaceDE w:val="0"/>
        <w:spacing w:before="240" w:after="240"/>
        <w:jc w:val="right"/>
        <w:rPr>
          <w:iCs/>
        </w:rPr>
      </w:pPr>
      <w:r>
        <w:rPr>
          <w:iCs/>
        </w:rPr>
        <w:t>2. melléklet a</w:t>
      </w:r>
      <w:r w:rsidR="00035EFC">
        <w:rPr>
          <w:iCs/>
        </w:rPr>
        <w:t>12</w:t>
      </w:r>
      <w:r>
        <w:rPr>
          <w:iCs/>
        </w:rPr>
        <w:t>/2016. (</w:t>
      </w:r>
      <w:r w:rsidR="00035EFC">
        <w:rPr>
          <w:iCs/>
        </w:rPr>
        <w:t>VI.27.</w:t>
      </w:r>
      <w:bookmarkStart w:id="0" w:name="_GoBack"/>
      <w:bookmarkEnd w:id="0"/>
      <w:r>
        <w:rPr>
          <w:iCs/>
        </w:rPr>
        <w:t>) önkormányzati rendelethez</w:t>
      </w:r>
    </w:p>
    <w:p w:rsidR="00CC0317" w:rsidRDefault="00CC0317" w:rsidP="00CC0317">
      <w:pPr>
        <w:autoSpaceDE w:val="0"/>
        <w:spacing w:before="240" w:after="240"/>
        <w:jc w:val="right"/>
        <w:rPr>
          <w:iCs/>
        </w:rPr>
      </w:pPr>
      <w:r>
        <w:rPr>
          <w:iCs/>
        </w:rPr>
        <w:t>2. melléklet a 15/2015. (V.28.) önkormányzati rendelethez</w:t>
      </w:r>
    </w:p>
    <w:p w:rsidR="00CC0317" w:rsidRPr="000703B9" w:rsidRDefault="00CC0317" w:rsidP="00CC0317">
      <w:pPr>
        <w:autoSpaceDE w:val="0"/>
        <w:jc w:val="center"/>
        <w:rPr>
          <w:sz w:val="28"/>
          <w:szCs w:val="28"/>
        </w:rPr>
      </w:pPr>
      <w:r w:rsidRPr="000703B9">
        <w:rPr>
          <w:b/>
          <w:bCs/>
          <w:sz w:val="28"/>
          <w:szCs w:val="28"/>
        </w:rPr>
        <w:t>A Szociális Központ intézményi térítési díjai</w:t>
      </w:r>
    </w:p>
    <w:p w:rsidR="00CC0317" w:rsidRDefault="00CC0317" w:rsidP="00CC0317">
      <w:pPr>
        <w:pStyle w:val="Standard"/>
        <w:autoSpaceDE w:val="0"/>
        <w:jc w:val="both"/>
        <w:rPr>
          <w:rFonts w:cs="Times New Roman"/>
          <w:u w:val="single"/>
        </w:rPr>
      </w:pPr>
    </w:p>
    <w:p w:rsidR="00CC0317" w:rsidRPr="000703B9" w:rsidRDefault="00CC0317" w:rsidP="00CC0317">
      <w:pPr>
        <w:pStyle w:val="Standard"/>
        <w:autoSpaceDE w:val="0"/>
        <w:jc w:val="both"/>
        <w:rPr>
          <w:rFonts w:cs="Times New Roman"/>
          <w:b/>
          <w:i/>
          <w:iCs/>
          <w:sz w:val="28"/>
          <w:szCs w:val="28"/>
        </w:rPr>
      </w:pPr>
      <w:r w:rsidRPr="000703B9">
        <w:rPr>
          <w:rFonts w:cs="Times New Roman"/>
          <w:b/>
          <w:sz w:val="28"/>
          <w:szCs w:val="28"/>
          <w:u w:val="single"/>
        </w:rPr>
        <w:t>ÉTKEZTETÉS</w:t>
      </w:r>
      <w:r w:rsidRPr="000703B9">
        <w:rPr>
          <w:rFonts w:cs="Times New Roman"/>
          <w:b/>
          <w:i/>
          <w:iCs/>
          <w:sz w:val="28"/>
          <w:szCs w:val="28"/>
        </w:rPr>
        <w:t xml:space="preserve"> </w:t>
      </w:r>
    </w:p>
    <w:p w:rsidR="00CC0317" w:rsidRPr="00A67030" w:rsidRDefault="00CC0317" w:rsidP="00CC0317">
      <w:pPr>
        <w:pStyle w:val="Standard"/>
        <w:autoSpaceDE w:val="0"/>
        <w:jc w:val="both"/>
        <w:rPr>
          <w:rFonts w:cs="Times New Roman"/>
          <w:iCs/>
        </w:rPr>
      </w:pPr>
      <w:r w:rsidRPr="00A67030">
        <w:rPr>
          <w:rFonts w:cs="Times New Roman"/>
          <w:iCs/>
        </w:rPr>
        <w:t>Az étke</w:t>
      </w:r>
      <w:r>
        <w:rPr>
          <w:rFonts w:cs="Times New Roman"/>
          <w:iCs/>
        </w:rPr>
        <w:t>ztetés intézményi térítési díjai</w:t>
      </w:r>
      <w:r w:rsidRPr="00A67030">
        <w:rPr>
          <w:rFonts w:cs="Times New Roman"/>
          <w:iCs/>
        </w:rPr>
        <w:t xml:space="preserve"> az </w:t>
      </w:r>
      <w:proofErr w:type="spellStart"/>
      <w:r w:rsidRPr="00A67030">
        <w:rPr>
          <w:rFonts w:cs="Times New Roman"/>
          <w:iCs/>
        </w:rPr>
        <w:t>ÁFA-t</w:t>
      </w:r>
      <w:proofErr w:type="spellEnd"/>
      <w:r w:rsidRPr="00A67030">
        <w:rPr>
          <w:rFonts w:cs="Times New Roman"/>
          <w:iCs/>
        </w:rPr>
        <w:t xml:space="preserve"> nem tartalmazzák.</w:t>
      </w:r>
    </w:p>
    <w:p w:rsidR="00CC0317" w:rsidRPr="00A67030" w:rsidRDefault="00CC0317" w:rsidP="00CC0317">
      <w:pPr>
        <w:jc w:val="both"/>
        <w:rPr>
          <w:u w:val="single"/>
        </w:rPr>
      </w:pPr>
    </w:p>
    <w:p w:rsidR="00CC0317" w:rsidRPr="000703B9" w:rsidRDefault="00CC0317" w:rsidP="00CC0317">
      <w:pPr>
        <w:pStyle w:val="Nincstrkz"/>
        <w:rPr>
          <w:b/>
        </w:rPr>
      </w:pPr>
      <w:r w:rsidRPr="000703B9">
        <w:rPr>
          <w:b/>
        </w:rPr>
        <w:t>NYÍRADONY</w:t>
      </w:r>
    </w:p>
    <w:p w:rsidR="00CC0317" w:rsidRPr="008B5954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8B5954">
        <w:t xml:space="preserve">Intézményi térítési díj kiszállítással: 480 Ft/nap </w:t>
      </w:r>
    </w:p>
    <w:p w:rsidR="00CC0317" w:rsidRPr="008B5954" w:rsidRDefault="00CC0317" w:rsidP="00CC0317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54">
        <w:rPr>
          <w:rFonts w:ascii="Times New Roman" w:hAnsi="Times New Roman" w:cs="Times New Roman"/>
          <w:sz w:val="24"/>
          <w:szCs w:val="24"/>
        </w:rPr>
        <w:t xml:space="preserve">Intézményi térítési díj kiszállítás nélkül: 420 </w:t>
      </w:r>
      <w:r w:rsidRPr="008B5954">
        <w:rPr>
          <w:rFonts w:ascii="Times New Roman" w:hAnsi="Times New Roman" w:cs="Times New Roman"/>
          <w:bCs/>
          <w:sz w:val="24"/>
          <w:szCs w:val="24"/>
        </w:rPr>
        <w:t>Ft/nap</w:t>
      </w:r>
    </w:p>
    <w:tbl>
      <w:tblPr>
        <w:tblW w:w="8839" w:type="dxa"/>
        <w:jc w:val="center"/>
        <w:tblInd w:w="3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5"/>
        <w:gridCol w:w="2492"/>
        <w:gridCol w:w="2872"/>
      </w:tblGrid>
      <w:tr w:rsidR="00CC0317" w:rsidRPr="00A67030" w:rsidTr="000034CC">
        <w:trPr>
          <w:jc w:val="center"/>
        </w:trPr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bCs/>
                <w:sz w:val="20"/>
                <w:szCs w:val="20"/>
              </w:rPr>
              <w:t>Jövedelem (öregségi nyugdíj mindenkori legkisebb összegének %-ában)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Térítési díj az Szt. 115. § (1) bekezdése alapján (Ft/nap)</w:t>
            </w:r>
          </w:p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0317" w:rsidRPr="00A67030" w:rsidTr="000034CC">
        <w:trPr>
          <w:jc w:val="center"/>
        </w:trPr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kiszállítással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kiszállítás nélkül</w:t>
            </w:r>
          </w:p>
        </w:tc>
      </w:tr>
      <w:tr w:rsidR="00CC0317" w:rsidRPr="00A67030" w:rsidTr="000034CC">
        <w:trPr>
          <w:jc w:val="center"/>
        </w:trPr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250</w:t>
            </w:r>
          </w:p>
        </w:tc>
      </w:tr>
      <w:tr w:rsidR="00CC0317" w:rsidRPr="00A67030" w:rsidTr="000034CC">
        <w:trPr>
          <w:jc w:val="center"/>
        </w:trPr>
        <w:tc>
          <w:tcPr>
            <w:tcW w:w="34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151 – 250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395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330</w:t>
            </w:r>
          </w:p>
        </w:tc>
      </w:tr>
      <w:tr w:rsidR="00CC0317" w:rsidRPr="00A67030" w:rsidTr="000034CC">
        <w:trPr>
          <w:jc w:val="center"/>
        </w:trPr>
        <w:tc>
          <w:tcPr>
            <w:tcW w:w="34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251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435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370</w:t>
            </w:r>
          </w:p>
        </w:tc>
      </w:tr>
      <w:tr w:rsidR="00CC0317" w:rsidRPr="00A67030" w:rsidTr="000034CC">
        <w:trPr>
          <w:jc w:val="center"/>
        </w:trPr>
        <w:tc>
          <w:tcPr>
            <w:tcW w:w="347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300 felett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480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420</w:t>
            </w:r>
          </w:p>
        </w:tc>
      </w:tr>
    </w:tbl>
    <w:p w:rsidR="00CC0317" w:rsidRPr="00A67030" w:rsidRDefault="00CC0317" w:rsidP="00CC0317">
      <w:pPr>
        <w:jc w:val="both"/>
        <w:rPr>
          <w:bCs/>
          <w:i/>
        </w:rPr>
      </w:pPr>
    </w:p>
    <w:p w:rsidR="00CC0317" w:rsidRPr="000703B9" w:rsidRDefault="00CC0317" w:rsidP="00CC0317">
      <w:pPr>
        <w:jc w:val="both"/>
        <w:rPr>
          <w:b/>
          <w:bCs/>
          <w:sz w:val="24"/>
          <w:szCs w:val="24"/>
        </w:rPr>
      </w:pPr>
      <w:r w:rsidRPr="000703B9">
        <w:rPr>
          <w:b/>
          <w:bCs/>
          <w:sz w:val="24"/>
          <w:szCs w:val="24"/>
        </w:rPr>
        <w:t>HAJDÚSÁMSON</w:t>
      </w:r>
    </w:p>
    <w:p w:rsidR="00CC0317" w:rsidRPr="008B5954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8B5954">
        <w:t xml:space="preserve">Intézményi térítési díj kiszállítással: 330 Ft/nap </w:t>
      </w:r>
    </w:p>
    <w:p w:rsidR="00CC0317" w:rsidRPr="008B5954" w:rsidRDefault="00CC0317" w:rsidP="00CC0317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54">
        <w:rPr>
          <w:rFonts w:ascii="Times New Roman" w:hAnsi="Times New Roman" w:cs="Times New Roman"/>
          <w:sz w:val="24"/>
          <w:szCs w:val="24"/>
        </w:rPr>
        <w:t xml:space="preserve">Intézményi térítési díj kiszállítás nélkül: 310 </w:t>
      </w:r>
      <w:r w:rsidRPr="008B5954">
        <w:rPr>
          <w:rFonts w:ascii="Times New Roman" w:hAnsi="Times New Roman" w:cs="Times New Roman"/>
          <w:bCs/>
          <w:sz w:val="24"/>
          <w:szCs w:val="24"/>
        </w:rPr>
        <w:t>Ft/nap</w:t>
      </w:r>
    </w:p>
    <w:p w:rsidR="00CC0317" w:rsidRPr="00A67030" w:rsidRDefault="00CC0317" w:rsidP="00CC0317">
      <w:pPr>
        <w:jc w:val="both"/>
        <w:rPr>
          <w:bCs/>
        </w:rPr>
      </w:pPr>
    </w:p>
    <w:p w:rsidR="00CC0317" w:rsidRPr="000703B9" w:rsidRDefault="00CC0317" w:rsidP="00CC0317">
      <w:pPr>
        <w:jc w:val="both"/>
        <w:rPr>
          <w:b/>
          <w:bCs/>
          <w:sz w:val="24"/>
          <w:szCs w:val="24"/>
        </w:rPr>
      </w:pPr>
      <w:r w:rsidRPr="000703B9">
        <w:rPr>
          <w:b/>
          <w:bCs/>
          <w:sz w:val="24"/>
          <w:szCs w:val="24"/>
        </w:rPr>
        <w:t>FÜLÖP</w:t>
      </w:r>
    </w:p>
    <w:p w:rsidR="00CC0317" w:rsidRPr="00A67030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A67030">
        <w:t xml:space="preserve">Intézményi térítési díj: 490 Ft/nap </w:t>
      </w:r>
    </w:p>
    <w:tbl>
      <w:tblPr>
        <w:tblpPr w:leftFromText="141" w:rightFromText="141" w:vertAnchor="text" w:horzAnchor="margin" w:tblpXSpec="center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3"/>
        <w:gridCol w:w="4007"/>
      </w:tblGrid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  <w:rPr>
                <w:u w:val="single"/>
              </w:rPr>
            </w:pPr>
            <w:r w:rsidRPr="00A67030">
              <w:rPr>
                <w:bCs/>
              </w:rPr>
              <w:t>Jövedelem (öregségi nyugdíj mindenkori legkisebb összegének %-ában)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  <w:rPr>
                <w:u w:val="single"/>
              </w:rPr>
            </w:pPr>
            <w:r w:rsidRPr="00A67030">
              <w:t>Térítési díj az Szt. 115. § (1) bekezdése alapján (Ft/nap)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0 – 150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275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151 – 250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355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251 – 300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435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300 felett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490</w:t>
            </w:r>
          </w:p>
        </w:tc>
      </w:tr>
    </w:tbl>
    <w:p w:rsidR="00CC0317" w:rsidRPr="00A67030" w:rsidRDefault="00CC0317" w:rsidP="00CC0317">
      <w:pPr>
        <w:jc w:val="both"/>
        <w:rPr>
          <w:i/>
        </w:rPr>
      </w:pPr>
    </w:p>
    <w:p w:rsidR="00CC0317" w:rsidRPr="000703B9" w:rsidRDefault="00CC0317" w:rsidP="00CC0317">
      <w:pPr>
        <w:jc w:val="both"/>
        <w:rPr>
          <w:b/>
          <w:sz w:val="24"/>
          <w:szCs w:val="24"/>
        </w:rPr>
      </w:pPr>
      <w:r w:rsidRPr="000703B9">
        <w:rPr>
          <w:b/>
          <w:sz w:val="24"/>
          <w:szCs w:val="24"/>
        </w:rPr>
        <w:t>NYÍRACSÁD</w:t>
      </w:r>
    </w:p>
    <w:p w:rsidR="00CC0317" w:rsidRPr="008B5954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8B5954">
        <w:t xml:space="preserve">Intézményi térítési díj kiszállítással: 370 Ft/nap </w:t>
      </w:r>
    </w:p>
    <w:p w:rsidR="00CC0317" w:rsidRPr="008B5954" w:rsidRDefault="00CC0317" w:rsidP="00CC0317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54">
        <w:rPr>
          <w:rFonts w:ascii="Times New Roman" w:hAnsi="Times New Roman" w:cs="Times New Roman"/>
          <w:sz w:val="24"/>
          <w:szCs w:val="24"/>
        </w:rPr>
        <w:t xml:space="preserve">Intézményi térítési díj kiszállítás nélkül: 325 </w:t>
      </w:r>
      <w:r w:rsidRPr="008B5954">
        <w:rPr>
          <w:rFonts w:ascii="Times New Roman" w:hAnsi="Times New Roman" w:cs="Times New Roman"/>
          <w:bCs/>
          <w:sz w:val="24"/>
          <w:szCs w:val="24"/>
        </w:rPr>
        <w:t>Ft/nap</w:t>
      </w:r>
    </w:p>
    <w:tbl>
      <w:tblPr>
        <w:tblW w:w="9174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0"/>
        <w:gridCol w:w="2492"/>
        <w:gridCol w:w="2872"/>
      </w:tblGrid>
      <w:tr w:rsidR="00CC0317" w:rsidRPr="00A67030" w:rsidTr="000034CC"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bCs/>
                <w:sz w:val="20"/>
                <w:szCs w:val="20"/>
              </w:rPr>
              <w:t>Jövedelem (öregségi nyugdíj mindenkori legkisebb összegének %-ában)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Térítési díj az Szt. 115. § (1) bekezdése alapján (Ft/nap)</w:t>
            </w:r>
          </w:p>
        </w:tc>
      </w:tr>
      <w:tr w:rsidR="00CC0317" w:rsidRPr="00A67030" w:rsidTr="000034CC"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kiszállítással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kiszállítás nélkül</w:t>
            </w:r>
          </w:p>
        </w:tc>
      </w:tr>
      <w:tr w:rsidR="00CC0317" w:rsidRPr="00A67030" w:rsidTr="000034CC"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270</w:t>
            </w:r>
          </w:p>
        </w:tc>
      </w:tr>
      <w:tr w:rsidR="00CC0317" w:rsidRPr="00A67030" w:rsidTr="000034CC"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151 – 250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330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285</w:t>
            </w:r>
          </w:p>
        </w:tc>
      </w:tr>
      <w:tr w:rsidR="00CC0317" w:rsidRPr="00A67030" w:rsidTr="000034CC"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251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345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300</w:t>
            </w:r>
          </w:p>
        </w:tc>
      </w:tr>
      <w:tr w:rsidR="00CC0317" w:rsidRPr="00A67030" w:rsidTr="000034CC"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300 felett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370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325</w:t>
            </w:r>
          </w:p>
        </w:tc>
      </w:tr>
    </w:tbl>
    <w:p w:rsidR="00CC0317" w:rsidRPr="00A67030" w:rsidRDefault="00CC0317" w:rsidP="00CC0317">
      <w:pPr>
        <w:jc w:val="both"/>
        <w:rPr>
          <w:i/>
        </w:rPr>
      </w:pPr>
    </w:p>
    <w:p w:rsidR="00CC0317" w:rsidRPr="000703B9" w:rsidRDefault="00CC0317" w:rsidP="00CC0317">
      <w:pPr>
        <w:jc w:val="both"/>
        <w:rPr>
          <w:b/>
          <w:sz w:val="24"/>
          <w:szCs w:val="24"/>
        </w:rPr>
      </w:pPr>
      <w:r w:rsidRPr="000703B9">
        <w:rPr>
          <w:b/>
          <w:sz w:val="24"/>
          <w:szCs w:val="24"/>
        </w:rPr>
        <w:t>NYÍRÁBRÁNY</w:t>
      </w:r>
    </w:p>
    <w:p w:rsidR="00CC0317" w:rsidRPr="008B5954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8B5954">
        <w:t xml:space="preserve">Intézményi térítési díj kiszállítással: 425 Ft/nap </w:t>
      </w:r>
    </w:p>
    <w:p w:rsidR="00CC0317" w:rsidRPr="008B5954" w:rsidRDefault="00CC0317" w:rsidP="00CC0317">
      <w:pPr>
        <w:pStyle w:val="Listaszerbekezds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954">
        <w:rPr>
          <w:rFonts w:ascii="Times New Roman" w:hAnsi="Times New Roman" w:cs="Times New Roman"/>
          <w:sz w:val="24"/>
          <w:szCs w:val="24"/>
        </w:rPr>
        <w:t xml:space="preserve">Intézményi térítési díj kiszállítás nélkül: 355 </w:t>
      </w:r>
      <w:r w:rsidRPr="008B5954">
        <w:rPr>
          <w:rFonts w:ascii="Times New Roman" w:hAnsi="Times New Roman" w:cs="Times New Roman"/>
          <w:bCs/>
          <w:sz w:val="24"/>
          <w:szCs w:val="24"/>
        </w:rPr>
        <w:t>Ft/nap</w:t>
      </w:r>
    </w:p>
    <w:tbl>
      <w:tblPr>
        <w:tblW w:w="9174" w:type="dxa"/>
        <w:jc w:val="center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0"/>
        <w:gridCol w:w="2492"/>
        <w:gridCol w:w="2872"/>
      </w:tblGrid>
      <w:tr w:rsidR="00CC0317" w:rsidRPr="00A67030" w:rsidTr="000034CC">
        <w:trPr>
          <w:jc w:val="center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bCs/>
                <w:sz w:val="20"/>
                <w:szCs w:val="20"/>
              </w:rPr>
              <w:t>Jövedelem (öregségi nyugdíj mindenkori legkisebb összegének %-ában)</w:t>
            </w:r>
          </w:p>
        </w:tc>
        <w:tc>
          <w:tcPr>
            <w:tcW w:w="5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Térítési díj az Szt. 115. § (1) bekezdése alapján (Ft/nap)</w:t>
            </w:r>
          </w:p>
        </w:tc>
      </w:tr>
      <w:tr w:rsidR="00CC0317" w:rsidRPr="00A67030" w:rsidTr="000034CC">
        <w:trPr>
          <w:jc w:val="center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kiszállítással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kiszállítás nélkül</w:t>
            </w:r>
          </w:p>
        </w:tc>
      </w:tr>
      <w:tr w:rsidR="00CC0317" w:rsidRPr="00A67030" w:rsidTr="000034CC">
        <w:trPr>
          <w:jc w:val="center"/>
        </w:trPr>
        <w:tc>
          <w:tcPr>
            <w:tcW w:w="3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315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245</w:t>
            </w:r>
          </w:p>
        </w:tc>
      </w:tr>
      <w:tr w:rsidR="00CC0317" w:rsidRPr="00A67030" w:rsidTr="000034CC">
        <w:trPr>
          <w:jc w:val="center"/>
        </w:trPr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151 – 250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345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275</w:t>
            </w:r>
          </w:p>
        </w:tc>
      </w:tr>
      <w:tr w:rsidR="00CC0317" w:rsidRPr="00A67030" w:rsidTr="000034CC">
        <w:trPr>
          <w:jc w:val="center"/>
        </w:trPr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251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A67030">
              <w:rPr>
                <w:rFonts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380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310</w:t>
            </w:r>
          </w:p>
        </w:tc>
      </w:tr>
      <w:tr w:rsidR="00CC0317" w:rsidRPr="00A67030" w:rsidTr="000034CC">
        <w:trPr>
          <w:jc w:val="center"/>
        </w:trPr>
        <w:tc>
          <w:tcPr>
            <w:tcW w:w="381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lastRenderedPageBreak/>
              <w:t xml:space="preserve"> 300 felett</w:t>
            </w:r>
          </w:p>
        </w:tc>
        <w:tc>
          <w:tcPr>
            <w:tcW w:w="2492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425</w:t>
            </w:r>
          </w:p>
        </w:tc>
        <w:tc>
          <w:tcPr>
            <w:tcW w:w="28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355</w:t>
            </w:r>
          </w:p>
        </w:tc>
      </w:tr>
    </w:tbl>
    <w:p w:rsidR="00CC0317" w:rsidRDefault="00CC0317" w:rsidP="00CC0317">
      <w:pPr>
        <w:jc w:val="both"/>
        <w:rPr>
          <w:b/>
          <w:sz w:val="24"/>
          <w:szCs w:val="24"/>
        </w:rPr>
      </w:pPr>
    </w:p>
    <w:p w:rsidR="00CC0317" w:rsidRPr="000703B9" w:rsidRDefault="00CC0317" w:rsidP="00CC0317">
      <w:pPr>
        <w:jc w:val="both"/>
        <w:rPr>
          <w:b/>
          <w:sz w:val="24"/>
          <w:szCs w:val="24"/>
        </w:rPr>
      </w:pPr>
      <w:r w:rsidRPr="000703B9">
        <w:rPr>
          <w:b/>
          <w:sz w:val="24"/>
          <w:szCs w:val="24"/>
        </w:rPr>
        <w:t>ÚJLÉTA</w:t>
      </w:r>
    </w:p>
    <w:p w:rsidR="00CC0317" w:rsidRPr="00A67030" w:rsidRDefault="00CC0317" w:rsidP="00CC0317">
      <w:pPr>
        <w:pStyle w:val="Nincstrkz"/>
        <w:numPr>
          <w:ilvl w:val="0"/>
          <w:numId w:val="1"/>
        </w:numPr>
        <w:rPr>
          <w:i/>
        </w:rPr>
      </w:pPr>
      <w:r w:rsidRPr="00A67030">
        <w:t xml:space="preserve">Intézményi térítési díj: 315 Ft/nap </w:t>
      </w:r>
    </w:p>
    <w:tbl>
      <w:tblPr>
        <w:tblpPr w:leftFromText="141" w:rightFromText="141" w:vertAnchor="text" w:horzAnchor="margin" w:tblpXSpec="center" w:tblpY="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3"/>
        <w:gridCol w:w="4007"/>
      </w:tblGrid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  <w:rPr>
                <w:u w:val="single"/>
              </w:rPr>
            </w:pPr>
            <w:r w:rsidRPr="00A67030">
              <w:rPr>
                <w:bCs/>
              </w:rPr>
              <w:t>Jövedelem (öregségi nyugdíj mindenkori legkisebb összegének %-ában)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  <w:rPr>
                <w:u w:val="single"/>
              </w:rPr>
            </w:pPr>
            <w:r w:rsidRPr="00A67030">
              <w:t>Térítési díj az Szt. 115. § (1) bekezdése alapján (Ft/nap)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0 – 150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235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151 – 250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270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251 – 300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290</w:t>
            </w:r>
          </w:p>
        </w:tc>
      </w:tr>
      <w:tr w:rsidR="00CC0317" w:rsidRPr="00A67030" w:rsidTr="000034CC">
        <w:tc>
          <w:tcPr>
            <w:tcW w:w="4883" w:type="dxa"/>
          </w:tcPr>
          <w:p w:rsidR="00CC0317" w:rsidRPr="00A67030" w:rsidRDefault="00CC0317" w:rsidP="000034CC">
            <w:pPr>
              <w:jc w:val="center"/>
            </w:pPr>
            <w:r w:rsidRPr="00A67030">
              <w:t>300 felett</w:t>
            </w:r>
          </w:p>
        </w:tc>
        <w:tc>
          <w:tcPr>
            <w:tcW w:w="4007" w:type="dxa"/>
          </w:tcPr>
          <w:p w:rsidR="00CC0317" w:rsidRPr="00A67030" w:rsidRDefault="00CC0317" w:rsidP="000034CC">
            <w:pPr>
              <w:jc w:val="center"/>
            </w:pPr>
            <w:r w:rsidRPr="00A67030">
              <w:t>315</w:t>
            </w:r>
          </w:p>
        </w:tc>
      </w:tr>
    </w:tbl>
    <w:p w:rsidR="00CC0317" w:rsidRPr="00A67030" w:rsidRDefault="00CC0317" w:rsidP="00CC0317">
      <w:pPr>
        <w:jc w:val="both"/>
        <w:rPr>
          <w:bCs/>
        </w:rPr>
      </w:pPr>
    </w:p>
    <w:p w:rsidR="00CC0317" w:rsidRPr="000703B9" w:rsidRDefault="00CC0317" w:rsidP="00CC0317">
      <w:pPr>
        <w:tabs>
          <w:tab w:val="left" w:pos="1080"/>
        </w:tabs>
        <w:jc w:val="both"/>
        <w:rPr>
          <w:b/>
          <w:sz w:val="28"/>
          <w:szCs w:val="28"/>
        </w:rPr>
      </w:pPr>
      <w:r w:rsidRPr="000703B9">
        <w:rPr>
          <w:b/>
          <w:sz w:val="28"/>
          <w:szCs w:val="28"/>
          <w:u w:val="single"/>
        </w:rPr>
        <w:t>TÁMOGATÓ SZOLGÁLTATÁS</w:t>
      </w:r>
      <w:r w:rsidRPr="000703B9">
        <w:rPr>
          <w:b/>
          <w:sz w:val="28"/>
          <w:szCs w:val="28"/>
        </w:rPr>
        <w:t xml:space="preserve"> </w:t>
      </w:r>
    </w:p>
    <w:p w:rsidR="00CC0317" w:rsidRPr="00A67030" w:rsidRDefault="00CC0317" w:rsidP="00CC0317">
      <w:pPr>
        <w:tabs>
          <w:tab w:val="left" w:pos="1080"/>
        </w:tabs>
        <w:jc w:val="both"/>
        <w:rPr>
          <w:u w:val="single"/>
        </w:rPr>
      </w:pP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bCs/>
          <w:sz w:val="24"/>
          <w:szCs w:val="24"/>
        </w:rPr>
        <w:t>Személyi segítés</w:t>
      </w:r>
      <w:r w:rsidRPr="008B5954">
        <w:rPr>
          <w:sz w:val="24"/>
          <w:szCs w:val="24"/>
        </w:rPr>
        <w:t xml:space="preserve"> intézményi térítési díj: 200 Ft/óra</w:t>
      </w:r>
    </w:p>
    <w:tbl>
      <w:tblPr>
        <w:tblW w:w="7948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4110"/>
      </w:tblGrid>
      <w:tr w:rsidR="00CC0317" w:rsidRPr="00A67030" w:rsidTr="000034CC"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bCs/>
                <w:sz w:val="20"/>
                <w:szCs w:val="20"/>
              </w:rPr>
              <w:t>Jövedelem (öregségi nyugdíj mindenkori legkisebb összegének %-ában)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Térítési díj az Szt. 115. § (1) bekezdése alapján (óradíj) </w:t>
            </w:r>
          </w:p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személyi segítés</w:t>
            </w:r>
          </w:p>
        </w:tc>
      </w:tr>
      <w:tr w:rsidR="00CC0317" w:rsidRPr="00A67030" w:rsidTr="000034CC"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</w:t>
            </w:r>
            <w:r>
              <w:rPr>
                <w:rFonts w:cs="Times New Roman"/>
                <w:sz w:val="20"/>
                <w:szCs w:val="20"/>
              </w:rPr>
              <w:t xml:space="preserve"> – 150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</w:t>
            </w:r>
          </w:p>
        </w:tc>
      </w:tr>
      <w:tr w:rsidR="00CC0317" w:rsidRPr="00A67030" w:rsidTr="000034CC"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151 – 200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50</w:t>
            </w:r>
          </w:p>
        </w:tc>
      </w:tr>
      <w:tr w:rsidR="00CC0317" w:rsidRPr="00A67030" w:rsidTr="000034CC"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201 – 300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100</w:t>
            </w:r>
          </w:p>
        </w:tc>
      </w:tr>
      <w:tr w:rsidR="00CC0317" w:rsidRPr="00A67030" w:rsidTr="000034CC"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301 – 400  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CC0317" w:rsidRPr="00A67030" w:rsidTr="000034CC"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400 felett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200</w:t>
            </w:r>
          </w:p>
        </w:tc>
      </w:tr>
    </w:tbl>
    <w:p w:rsidR="00CC0317" w:rsidRPr="00A67030" w:rsidRDefault="00CC0317" w:rsidP="00CC0317">
      <w:pPr>
        <w:jc w:val="both"/>
      </w:pP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Szállítási intézményi térítési díj: 40 Ft/km</w:t>
      </w:r>
    </w:p>
    <w:p w:rsidR="00CC0317" w:rsidRPr="008B5954" w:rsidRDefault="00CC0317" w:rsidP="00CC0317">
      <w:pPr>
        <w:tabs>
          <w:tab w:val="left" w:pos="1080"/>
        </w:tabs>
        <w:jc w:val="both"/>
        <w:rPr>
          <w:sz w:val="24"/>
          <w:szCs w:val="24"/>
        </w:rPr>
      </w:pPr>
    </w:p>
    <w:p w:rsidR="00CC0317" w:rsidRPr="008B5954" w:rsidRDefault="00CC0317" w:rsidP="00CC0317">
      <w:pPr>
        <w:tabs>
          <w:tab w:val="left" w:pos="1080"/>
        </w:tabs>
        <w:jc w:val="both"/>
        <w:rPr>
          <w:sz w:val="24"/>
          <w:szCs w:val="24"/>
        </w:rPr>
      </w:pPr>
      <w:r w:rsidRPr="008B5954">
        <w:rPr>
          <w:sz w:val="24"/>
          <w:szCs w:val="24"/>
        </w:rPr>
        <w:t xml:space="preserve">A </w:t>
      </w:r>
      <w:proofErr w:type="spellStart"/>
      <w:r w:rsidRPr="008B5954">
        <w:rPr>
          <w:sz w:val="24"/>
          <w:szCs w:val="24"/>
        </w:rPr>
        <w:t>hajdúsámsoni</w:t>
      </w:r>
      <w:proofErr w:type="spellEnd"/>
      <w:r w:rsidRPr="008B5954">
        <w:rPr>
          <w:sz w:val="24"/>
          <w:szCs w:val="24"/>
        </w:rPr>
        <w:t xml:space="preserve"> lakóhellyel rendelkező ellátottak esetében a személyi segítés óradíja 0 Ft/óra, a szállítás díja 0 Ft/km.</w:t>
      </w:r>
    </w:p>
    <w:p w:rsidR="00CC0317" w:rsidRPr="008B5954" w:rsidRDefault="00CC0317" w:rsidP="00CC0317">
      <w:pPr>
        <w:jc w:val="both"/>
        <w:rPr>
          <w:sz w:val="24"/>
          <w:szCs w:val="24"/>
        </w:rPr>
      </w:pP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Személyi segítés intézményi térítési díj szociálisan nem rászorultak részére: 400 Ft/óra</w:t>
      </w: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Szállítási intézményi térítési díj szociálisan nem rászorultak részére: 120 Ft/km</w:t>
      </w:r>
    </w:p>
    <w:p w:rsidR="00CC0317" w:rsidRPr="00A67030" w:rsidRDefault="00CC0317" w:rsidP="00CC0317">
      <w:pPr>
        <w:jc w:val="both"/>
      </w:pPr>
    </w:p>
    <w:p w:rsidR="00CC0317" w:rsidRPr="00A67030" w:rsidRDefault="00CC0317" w:rsidP="00CC0317">
      <w:pPr>
        <w:jc w:val="both"/>
        <w:rPr>
          <w:u w:val="single"/>
        </w:rPr>
      </w:pPr>
    </w:p>
    <w:p w:rsidR="00CC0317" w:rsidRPr="000703B9" w:rsidRDefault="00CC0317" w:rsidP="00CC0317">
      <w:pPr>
        <w:jc w:val="both"/>
        <w:rPr>
          <w:b/>
          <w:sz w:val="28"/>
          <w:szCs w:val="28"/>
          <w:u w:val="single"/>
        </w:rPr>
      </w:pPr>
      <w:r w:rsidRPr="000703B9">
        <w:rPr>
          <w:b/>
          <w:sz w:val="28"/>
          <w:szCs w:val="28"/>
          <w:u w:val="single"/>
        </w:rPr>
        <w:t>HÁZI SEGÍTSÉGNYÚJTÁS</w:t>
      </w:r>
    </w:p>
    <w:p w:rsidR="00CC0317" w:rsidRPr="00A67030" w:rsidRDefault="00CC0317" w:rsidP="00CC0317">
      <w:pPr>
        <w:jc w:val="both"/>
      </w:pP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Intézményi térítési díj: 200 Ft/gondozási óra</w:t>
      </w:r>
    </w:p>
    <w:tbl>
      <w:tblPr>
        <w:tblW w:w="9224" w:type="dxa"/>
        <w:jc w:val="center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2693"/>
        <w:gridCol w:w="2693"/>
      </w:tblGrid>
      <w:tr w:rsidR="00CC0317" w:rsidRPr="00A67030" w:rsidTr="000034CC">
        <w:trPr>
          <w:jc w:val="center"/>
        </w:trPr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bCs/>
                <w:sz w:val="20"/>
                <w:szCs w:val="20"/>
              </w:rPr>
              <w:t>Jövedelem (öregségi nyugdíj mindenkori legkisebb összegének %-ában)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Térítési díj az Szt. 115. § (1) bekezdése alapján (óradíj)</w:t>
            </w:r>
          </w:p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személyi gondozás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Térítési díj az Szt. 115. § (1) bekezdése alapján (óradíj)</w:t>
            </w:r>
          </w:p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szociális segítés</w:t>
            </w:r>
          </w:p>
        </w:tc>
      </w:tr>
      <w:tr w:rsidR="00CC0317" w:rsidRPr="00A67030" w:rsidTr="000034CC">
        <w:trPr>
          <w:jc w:val="center"/>
        </w:trPr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0 - 150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CC0317" w:rsidRPr="00A67030" w:rsidTr="000034CC">
        <w:trPr>
          <w:jc w:val="center"/>
        </w:trPr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151 – 200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CC0317" w:rsidRPr="00A67030" w:rsidTr="000034CC">
        <w:trPr>
          <w:jc w:val="center"/>
        </w:trPr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201 – 300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CC0317" w:rsidRPr="00A67030" w:rsidTr="000034CC">
        <w:trPr>
          <w:jc w:val="center"/>
        </w:trPr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301 – 400  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150</w:t>
            </w:r>
          </w:p>
        </w:tc>
      </w:tr>
      <w:tr w:rsidR="00CC0317" w:rsidRPr="00A67030" w:rsidTr="000034CC">
        <w:trPr>
          <w:jc w:val="center"/>
        </w:trPr>
        <w:tc>
          <w:tcPr>
            <w:tcW w:w="383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400 felett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0317" w:rsidRPr="00A67030" w:rsidRDefault="00CC0317" w:rsidP="000034CC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A67030">
              <w:rPr>
                <w:rFonts w:cs="Times New Roman"/>
                <w:sz w:val="20"/>
                <w:szCs w:val="20"/>
              </w:rPr>
              <w:t>200</w:t>
            </w:r>
          </w:p>
        </w:tc>
      </w:tr>
    </w:tbl>
    <w:p w:rsidR="00CC0317" w:rsidRPr="008B5954" w:rsidRDefault="00CC0317" w:rsidP="00CC0317">
      <w:pPr>
        <w:tabs>
          <w:tab w:val="left" w:pos="1080"/>
        </w:tabs>
        <w:jc w:val="both"/>
        <w:rPr>
          <w:sz w:val="24"/>
          <w:szCs w:val="24"/>
        </w:rPr>
      </w:pPr>
      <w:r w:rsidRPr="008B5954">
        <w:rPr>
          <w:sz w:val="24"/>
          <w:szCs w:val="24"/>
        </w:rPr>
        <w:t xml:space="preserve">A </w:t>
      </w:r>
      <w:proofErr w:type="spellStart"/>
      <w:r w:rsidRPr="008B5954">
        <w:rPr>
          <w:sz w:val="24"/>
          <w:szCs w:val="24"/>
        </w:rPr>
        <w:t>hajdúsámsoni</w:t>
      </w:r>
      <w:proofErr w:type="spellEnd"/>
      <w:r w:rsidRPr="008B5954">
        <w:rPr>
          <w:sz w:val="24"/>
          <w:szCs w:val="24"/>
        </w:rPr>
        <w:t xml:space="preserve"> lakóhellyel rendelkező ellátottak esetében a személyi gondozás és szociális segítés óradíja: 0 Ft/óra </w:t>
      </w:r>
    </w:p>
    <w:p w:rsidR="00CC0317" w:rsidRPr="00A67030" w:rsidRDefault="00CC0317" w:rsidP="00CC0317">
      <w:pPr>
        <w:jc w:val="both"/>
        <w:rPr>
          <w:u w:val="single"/>
        </w:rPr>
      </w:pPr>
    </w:p>
    <w:p w:rsidR="00CC0317" w:rsidRPr="000703B9" w:rsidRDefault="00CC0317" w:rsidP="00CC0317">
      <w:pPr>
        <w:jc w:val="both"/>
        <w:rPr>
          <w:b/>
          <w:sz w:val="28"/>
          <w:szCs w:val="28"/>
          <w:u w:val="single"/>
        </w:rPr>
      </w:pPr>
      <w:r w:rsidRPr="000703B9">
        <w:rPr>
          <w:b/>
          <w:sz w:val="28"/>
          <w:szCs w:val="28"/>
          <w:u w:val="single"/>
        </w:rPr>
        <w:t>JELZŐRENDSZERES HÁZI SEGÍTSÉGNYÚJTÁS</w:t>
      </w:r>
    </w:p>
    <w:p w:rsidR="00CC0317" w:rsidRPr="00A67030" w:rsidRDefault="00CC0317" w:rsidP="00CC0317">
      <w:pPr>
        <w:jc w:val="both"/>
      </w:pP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Intézményi térítési díj: 0 Ft/nap</w:t>
      </w:r>
    </w:p>
    <w:p w:rsidR="00CC0317" w:rsidRPr="008B5954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Intézményi térítési díj szociálisan nem rászorultak részére: 200 Ft/nap</w:t>
      </w:r>
    </w:p>
    <w:p w:rsidR="00CC0317" w:rsidRPr="00A67030" w:rsidRDefault="00CC0317" w:rsidP="00CC0317">
      <w:pPr>
        <w:jc w:val="both"/>
        <w:rPr>
          <w:u w:val="single"/>
        </w:rPr>
      </w:pPr>
    </w:p>
    <w:p w:rsidR="00CC0317" w:rsidRPr="000703B9" w:rsidRDefault="00CC0317" w:rsidP="00CC0317">
      <w:pPr>
        <w:jc w:val="both"/>
        <w:rPr>
          <w:b/>
          <w:sz w:val="28"/>
          <w:szCs w:val="28"/>
          <w:u w:val="single"/>
        </w:rPr>
      </w:pPr>
      <w:r w:rsidRPr="000703B9">
        <w:rPr>
          <w:b/>
          <w:sz w:val="28"/>
          <w:szCs w:val="28"/>
          <w:u w:val="single"/>
        </w:rPr>
        <w:t>IDŐSEK NAPPALI ELLÁTÁSA</w:t>
      </w:r>
    </w:p>
    <w:p w:rsidR="00CC0317" w:rsidRPr="00A67030" w:rsidRDefault="00CC0317" w:rsidP="00CC0317">
      <w:pPr>
        <w:jc w:val="both"/>
      </w:pPr>
    </w:p>
    <w:p w:rsidR="00DB6821" w:rsidRPr="00CC0317" w:rsidRDefault="00CC0317" w:rsidP="00CC0317">
      <w:pPr>
        <w:jc w:val="both"/>
        <w:rPr>
          <w:sz w:val="24"/>
          <w:szCs w:val="24"/>
        </w:rPr>
      </w:pPr>
      <w:r w:rsidRPr="008B5954">
        <w:rPr>
          <w:sz w:val="24"/>
          <w:szCs w:val="24"/>
        </w:rPr>
        <w:t>Intézményi térítési díj: 0 Ft/nap</w:t>
      </w:r>
    </w:p>
    <w:sectPr w:rsidR="00DB6821" w:rsidRPr="00CC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550F"/>
    <w:multiLevelType w:val="hybridMultilevel"/>
    <w:tmpl w:val="A970D3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17"/>
    <w:rsid w:val="00035EFC"/>
    <w:rsid w:val="004312BD"/>
    <w:rsid w:val="006B5C52"/>
    <w:rsid w:val="006F3613"/>
    <w:rsid w:val="00774667"/>
    <w:rsid w:val="00856DC0"/>
    <w:rsid w:val="00A07E16"/>
    <w:rsid w:val="00A67012"/>
    <w:rsid w:val="00AD3CCE"/>
    <w:rsid w:val="00B079A4"/>
    <w:rsid w:val="00C005C3"/>
    <w:rsid w:val="00CC0317"/>
    <w:rsid w:val="00DB6821"/>
    <w:rsid w:val="00E87234"/>
    <w:rsid w:val="00FD1507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CC0317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CC0317"/>
    <w:rPr>
      <w:rFonts w:ascii="Calibri" w:hAnsi="Calibri"/>
      <w:lang w:eastAsia="en-US" w:bidi="en-US"/>
    </w:rPr>
  </w:style>
  <w:style w:type="paragraph" w:styleId="Listaszerbekezds">
    <w:name w:val="List Paragraph"/>
    <w:basedOn w:val="Norml"/>
    <w:uiPriority w:val="34"/>
    <w:qFormat/>
    <w:rsid w:val="00CC031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CC031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aliases w:val="KABA_Címsor3 Char"/>
    <w:basedOn w:val="Bekezdsalapbettpusa"/>
    <w:link w:val="Nincstrkz"/>
    <w:uiPriority w:val="1"/>
    <w:locked/>
    <w:rsid w:val="00CC0317"/>
    <w:rPr>
      <w:rFonts w:ascii="Calibri" w:eastAsia="Times New Roman" w:hAnsi="Calibri" w:cs="Times New Roman"/>
      <w:sz w:val="20"/>
      <w:szCs w:val="20"/>
      <w:lang w:bidi="en-US"/>
    </w:rPr>
  </w:style>
  <w:style w:type="paragraph" w:styleId="Nincstrkz">
    <w:name w:val="No Spacing"/>
    <w:aliases w:val="KABA_Címsor3"/>
    <w:basedOn w:val="Norml"/>
    <w:link w:val="NincstrkzChar"/>
    <w:uiPriority w:val="1"/>
    <w:qFormat/>
    <w:rsid w:val="00CC0317"/>
    <w:rPr>
      <w:rFonts w:ascii="Calibri" w:hAnsi="Calibri"/>
      <w:lang w:eastAsia="en-US" w:bidi="en-US"/>
    </w:rPr>
  </w:style>
  <w:style w:type="paragraph" w:styleId="Listaszerbekezds">
    <w:name w:val="List Paragraph"/>
    <w:basedOn w:val="Norml"/>
    <w:uiPriority w:val="34"/>
    <w:qFormat/>
    <w:rsid w:val="00CC031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CC0317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2016-09-13T12:57:00Z</dcterms:created>
  <dcterms:modified xsi:type="dcterms:W3CDTF">2017-02-17T09:28:00Z</dcterms:modified>
</cp:coreProperties>
</file>