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2D" w:rsidRPr="00C21248" w:rsidRDefault="0086392D" w:rsidP="0086392D">
      <w:pPr>
        <w:jc w:val="right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 xml:space="preserve">A </w:t>
      </w:r>
      <w:r>
        <w:rPr>
          <w:rFonts w:ascii="Times New Roman" w:hAnsi="Times New Roman"/>
          <w:b/>
          <w:i/>
          <w:u w:val="single"/>
        </w:rPr>
        <w:t>8/2015</w:t>
      </w:r>
      <w:r w:rsidRPr="00C21248">
        <w:rPr>
          <w:rFonts w:ascii="Times New Roman" w:hAnsi="Times New Roman"/>
          <w:b/>
          <w:i/>
          <w:u w:val="single"/>
        </w:rPr>
        <w:t>. (</w:t>
      </w:r>
      <w:r>
        <w:rPr>
          <w:rFonts w:ascii="Times New Roman" w:hAnsi="Times New Roman"/>
          <w:b/>
          <w:i/>
          <w:u w:val="single"/>
        </w:rPr>
        <w:t>IV.30.</w:t>
      </w:r>
      <w:r w:rsidRPr="00C21248">
        <w:rPr>
          <w:rFonts w:ascii="Times New Roman" w:hAnsi="Times New Roman"/>
          <w:b/>
          <w:i/>
          <w:u w:val="single"/>
        </w:rPr>
        <w:t xml:space="preserve">) </w:t>
      </w:r>
      <w:proofErr w:type="spellStart"/>
      <w:r>
        <w:rPr>
          <w:rFonts w:ascii="Times New Roman" w:hAnsi="Times New Roman"/>
          <w:b/>
          <w:i/>
          <w:u w:val="single"/>
        </w:rPr>
        <w:t>Ör</w:t>
      </w:r>
      <w:proofErr w:type="spellEnd"/>
      <w:r>
        <w:rPr>
          <w:rFonts w:ascii="Times New Roman" w:hAnsi="Times New Roman"/>
          <w:b/>
          <w:i/>
          <w:u w:val="single"/>
        </w:rPr>
        <w:t>.  3</w:t>
      </w:r>
      <w:r w:rsidRPr="00C21248">
        <w:rPr>
          <w:rFonts w:ascii="Times New Roman" w:hAnsi="Times New Roman"/>
          <w:b/>
          <w:i/>
          <w:u w:val="single"/>
        </w:rPr>
        <w:t>. számú melléklete</w:t>
      </w:r>
    </w:p>
    <w:p w:rsidR="0086392D" w:rsidRPr="00C21248" w:rsidRDefault="0086392D" w:rsidP="0086392D">
      <w:pPr>
        <w:jc w:val="center"/>
        <w:rPr>
          <w:rFonts w:ascii="Times New Roman" w:hAnsi="Times New Roman"/>
        </w:rPr>
      </w:pPr>
    </w:p>
    <w:p w:rsidR="0086392D" w:rsidRPr="00C21248" w:rsidRDefault="0086392D" w:rsidP="0086392D">
      <w:pPr>
        <w:jc w:val="center"/>
        <w:rPr>
          <w:rFonts w:ascii="Times New Roman" w:hAnsi="Times New Roman"/>
        </w:rPr>
      </w:pPr>
    </w:p>
    <w:p w:rsidR="0086392D" w:rsidRPr="00C21248" w:rsidRDefault="0086392D" w:rsidP="0086392D">
      <w:pPr>
        <w:jc w:val="center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 xml:space="preserve">A KÉPVISELŐ-TESTÜLET ÁLTAL A </w:t>
      </w:r>
      <w:proofErr w:type="gramStart"/>
      <w:r w:rsidRPr="00C21248">
        <w:rPr>
          <w:rFonts w:ascii="Times New Roman" w:hAnsi="Times New Roman"/>
          <w:b/>
          <w:i/>
          <w:u w:val="single"/>
        </w:rPr>
        <w:t>TÁRSULÁSOKRA  ÁTRUHÁZOTT</w:t>
      </w:r>
      <w:proofErr w:type="gramEnd"/>
      <w:r w:rsidRPr="00C21248">
        <w:rPr>
          <w:rFonts w:ascii="Times New Roman" w:hAnsi="Times New Roman"/>
          <w:b/>
          <w:i/>
          <w:u w:val="single"/>
        </w:rPr>
        <w:t xml:space="preserve"> HATÁSKÖRÖK</w:t>
      </w:r>
    </w:p>
    <w:p w:rsidR="0086392D" w:rsidRPr="00C21248" w:rsidRDefault="0086392D" w:rsidP="0086392D">
      <w:pPr>
        <w:jc w:val="center"/>
        <w:rPr>
          <w:rFonts w:ascii="Times New Roman" w:hAnsi="Times New Roman"/>
        </w:rPr>
      </w:pPr>
    </w:p>
    <w:p w:rsidR="0086392D" w:rsidRPr="00C21248" w:rsidRDefault="0086392D" w:rsidP="0086392D">
      <w:pPr>
        <w:jc w:val="center"/>
        <w:rPr>
          <w:rFonts w:ascii="Times New Roman" w:hAnsi="Times New Roman"/>
        </w:rPr>
      </w:pPr>
    </w:p>
    <w:p w:rsidR="0086392D" w:rsidRPr="00C21248" w:rsidRDefault="0086392D" w:rsidP="0086392D">
      <w:pPr>
        <w:ind w:left="283"/>
        <w:jc w:val="both"/>
        <w:rPr>
          <w:rFonts w:ascii="Times New Roman" w:hAnsi="Times New Roman"/>
          <w:b/>
          <w:u w:val="single"/>
        </w:rPr>
      </w:pPr>
      <w:r w:rsidRPr="00C21248">
        <w:rPr>
          <w:rFonts w:ascii="Times New Roman" w:hAnsi="Times New Roman"/>
          <w:b/>
          <w:u w:val="single"/>
        </w:rPr>
        <w:t xml:space="preserve">I. A </w:t>
      </w:r>
      <w:proofErr w:type="spellStart"/>
      <w:r>
        <w:rPr>
          <w:rFonts w:ascii="Times New Roman" w:hAnsi="Times New Roman"/>
          <w:b/>
          <w:u w:val="single"/>
        </w:rPr>
        <w:t>somogyapáti</w:t>
      </w:r>
      <w:proofErr w:type="spellEnd"/>
      <w:r w:rsidRPr="00C21248">
        <w:rPr>
          <w:rFonts w:ascii="Times New Roman" w:hAnsi="Times New Roman"/>
          <w:b/>
          <w:u w:val="single"/>
        </w:rPr>
        <w:t xml:space="preserve"> óvodával kapcsolatosan a Nagy</w:t>
      </w:r>
      <w:r>
        <w:rPr>
          <w:rFonts w:ascii="Times New Roman" w:hAnsi="Times New Roman"/>
          <w:b/>
          <w:u w:val="single"/>
        </w:rPr>
        <w:t>dobsza-Somogyapáti</w:t>
      </w:r>
      <w:r w:rsidRPr="00C21248">
        <w:rPr>
          <w:rFonts w:ascii="Times New Roman" w:hAnsi="Times New Roman"/>
          <w:b/>
          <w:u w:val="single"/>
        </w:rPr>
        <w:t xml:space="preserve"> és Környéke Intézményfenntartó Társulás Társulási Tanácsára átruházott hatáskörök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</w:rPr>
      </w:pP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C21248">
        <w:rPr>
          <w:rFonts w:ascii="Times New Roman" w:eastAsia="Times New Roman" w:hAnsi="Times New Roman"/>
          <w:iCs/>
        </w:rPr>
        <w:t>a</w:t>
      </w:r>
      <w:proofErr w:type="gramEnd"/>
      <w:r w:rsidRPr="00C21248">
        <w:rPr>
          <w:rFonts w:ascii="Times New Roman" w:eastAsia="Times New Roman" w:hAnsi="Times New Roman"/>
          <w:iCs/>
        </w:rPr>
        <w:t>)</w:t>
      </w:r>
      <w:r w:rsidRPr="00C21248">
        <w:rPr>
          <w:rFonts w:ascii="Times New Roman" w:eastAsia="Times New Roman" w:hAnsi="Times New Roman"/>
          <w:i/>
          <w:iCs/>
        </w:rPr>
        <w:t xml:space="preserve"> </w:t>
      </w:r>
      <w:r w:rsidRPr="00C21248">
        <w:rPr>
          <w:rFonts w:ascii="Times New Roman" w:eastAsia="Times New Roman" w:hAnsi="Times New Roman"/>
        </w:rPr>
        <w:t>az intézmény gazdálkodási jogköréről, átszervezéséről, megszüntetéséről, tevékenységi körének módosításáról, nevének megállapításáról való döntés;</w:t>
      </w:r>
    </w:p>
    <w:p w:rsidR="0086392D" w:rsidRPr="00C21248" w:rsidRDefault="0086392D" w:rsidP="0086392D">
      <w:pPr>
        <w:pStyle w:val="Szvegtrzs2"/>
        <w:spacing w:after="0" w:line="240" w:lineRule="auto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b) az intézmény költségvetésének megállapítás</w:t>
      </w:r>
      <w:r>
        <w:rPr>
          <w:rFonts w:ascii="Times New Roman" w:hAnsi="Times New Roman"/>
        </w:rPr>
        <w:t xml:space="preserve">a, módosítása, zárszámadásának </w:t>
      </w:r>
      <w:r w:rsidRPr="00C21248">
        <w:rPr>
          <w:rFonts w:ascii="Times New Roman" w:hAnsi="Times New Roman"/>
        </w:rPr>
        <w:t>elfogadása, belső ellenőrzés és az ezzel kapcsolatos intézkedési tervek jóváhagyása;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C21248">
        <w:rPr>
          <w:rFonts w:ascii="Times New Roman" w:eastAsia="Times New Roman" w:hAnsi="Times New Roman"/>
        </w:rPr>
        <w:t>c) intézményi pályázatok benyújtása;</w:t>
      </w:r>
    </w:p>
    <w:p w:rsidR="0086392D" w:rsidRPr="00C21248" w:rsidRDefault="0086392D" w:rsidP="0086392D">
      <w:pPr>
        <w:pStyle w:val="Szvegtrzs2"/>
        <w:spacing w:after="0" w:line="240" w:lineRule="auto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 xml:space="preserve">d) az óvodába történő jelentkezés módjáról, a nagyobb létszámú gyermekek egy időszakon belüli óvodai felvételének időpontjáról való döntés, az óvodai </w:t>
      </w:r>
      <w:proofErr w:type="spellStart"/>
      <w:r w:rsidRPr="00C21248">
        <w:rPr>
          <w:rFonts w:ascii="Times New Roman" w:hAnsi="Times New Roman"/>
        </w:rPr>
        <w:t>nyitvatartás</w:t>
      </w:r>
      <w:proofErr w:type="spellEnd"/>
      <w:r w:rsidRPr="00C21248">
        <w:rPr>
          <w:rFonts w:ascii="Times New Roman" w:hAnsi="Times New Roman"/>
        </w:rPr>
        <w:t xml:space="preserve"> megállapítása, iskolai és óvodai csoportok, valamint tanulói maximált létszám továbbá az óvodák és iskolák működési (felvételi) körzetének meghatározása; az osztály és a csoport átlagszámtól való eltérés engedélyezése, beiratkozás rendjének meghatározása,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C21248">
        <w:rPr>
          <w:rFonts w:ascii="Times New Roman" w:eastAsia="Times New Roman" w:hAnsi="Times New Roman"/>
          <w:iCs/>
        </w:rPr>
        <w:t>e</w:t>
      </w:r>
      <w:proofErr w:type="gramEnd"/>
      <w:r w:rsidRPr="00C21248">
        <w:rPr>
          <w:rFonts w:ascii="Times New Roman" w:eastAsia="Times New Roman" w:hAnsi="Times New Roman"/>
          <w:iCs/>
        </w:rPr>
        <w:t>)</w:t>
      </w:r>
      <w:r w:rsidRPr="00C21248">
        <w:rPr>
          <w:rFonts w:ascii="Times New Roman" w:eastAsia="Times New Roman" w:hAnsi="Times New Roman"/>
          <w:i/>
          <w:iCs/>
        </w:rPr>
        <w:t xml:space="preserve"> </w:t>
      </w:r>
      <w:r w:rsidRPr="00C21248">
        <w:rPr>
          <w:rFonts w:ascii="Times New Roman" w:eastAsia="Times New Roman" w:hAnsi="Times New Roman"/>
        </w:rPr>
        <w:t>a minőségirányítási programban meghatározottak szerinti működtetés, továbbá rendszeresen - ha jogszabály másképp nem rendelkezik, négyévenként legalább egy alkalommal - ellenőrzi a köznevelési intézmény gazdálkodásának, működésének törvényességét, hatékonyságát, a szakmai munka eredményességét a nevelési-oktatási intézményben, továbbá a gyermek- és ifjúságvédelmi tevékenység, a gyermekbaleset megelőzése érdekében tett intézkedések ellenőrzése;</w:t>
      </w:r>
    </w:p>
    <w:p w:rsidR="0086392D" w:rsidRPr="00C21248" w:rsidRDefault="0086392D" w:rsidP="0086392D">
      <w:pPr>
        <w:pStyle w:val="Szvegtrzs2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C21248">
        <w:rPr>
          <w:rFonts w:ascii="Times New Roman" w:hAnsi="Times New Roman"/>
          <w:iCs/>
        </w:rPr>
        <w:t>f</w:t>
      </w:r>
      <w:proofErr w:type="gramEnd"/>
      <w:r w:rsidRPr="00C21248">
        <w:rPr>
          <w:rFonts w:ascii="Times New Roman" w:hAnsi="Times New Roman"/>
          <w:iCs/>
        </w:rPr>
        <w:t>)</w:t>
      </w:r>
      <w:r w:rsidRPr="00C21248">
        <w:rPr>
          <w:rFonts w:ascii="Times New Roman" w:hAnsi="Times New Roman"/>
          <w:i/>
          <w:iCs/>
        </w:rPr>
        <w:t xml:space="preserve"> </w:t>
      </w:r>
      <w:r w:rsidRPr="00C21248">
        <w:rPr>
          <w:rFonts w:ascii="Times New Roman" w:hAnsi="Times New Roman"/>
        </w:rPr>
        <w:t xml:space="preserve">az intézmény vezetőjének megbízása és felette a munkáltatói jogok gyakorlása, a megbízás visszavonása, a fegyelmi jogkörök gyakorlása, az összeférhetetlenség megállapítása. Az óvodavezető felett az egyéb munkáltatói jogokat a Társulási Tanács elnöke gyakorolja. 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C21248">
        <w:rPr>
          <w:rFonts w:ascii="Times New Roman" w:eastAsia="Times New Roman" w:hAnsi="Times New Roman"/>
        </w:rPr>
        <w:t>g</w:t>
      </w:r>
      <w:proofErr w:type="gramEnd"/>
      <w:r w:rsidRPr="00C21248">
        <w:rPr>
          <w:rFonts w:ascii="Times New Roman" w:eastAsia="Times New Roman" w:hAnsi="Times New Roman"/>
        </w:rPr>
        <w:t>) az intézmény szervezeti és működési szabályzatának, minőségirányítási programjának, valamint a nevelési-oktatási intézmény nevelési, illetve pedagógiai programjának, házirendjének elfogadása;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C21248">
        <w:rPr>
          <w:rFonts w:ascii="Times New Roman" w:eastAsia="Times New Roman" w:hAnsi="Times New Roman"/>
        </w:rPr>
        <w:t>h</w:t>
      </w:r>
      <w:proofErr w:type="gramEnd"/>
      <w:r w:rsidRPr="00C21248">
        <w:rPr>
          <w:rFonts w:ascii="Times New Roman" w:eastAsia="Times New Roman" w:hAnsi="Times New Roman"/>
        </w:rPr>
        <w:t>) intézkedési tervek elfogadása</w:t>
      </w:r>
    </w:p>
    <w:p w:rsidR="0086392D" w:rsidRPr="00C21248" w:rsidRDefault="0086392D" w:rsidP="008639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C21248">
        <w:rPr>
          <w:rFonts w:ascii="Times New Roman" w:eastAsia="Times New Roman" w:hAnsi="Times New Roman"/>
          <w:iCs/>
        </w:rPr>
        <w:t xml:space="preserve">i) </w:t>
      </w:r>
      <w:r w:rsidRPr="00C21248">
        <w:rPr>
          <w:rFonts w:ascii="Times New Roman" w:eastAsia="Times New Roman" w:hAnsi="Times New Roman"/>
        </w:rPr>
        <w:t>a nevelési-oktatási intézmény foglalkozási, illetve pedagógiai programjában meghatározott feladatok végrehajtásának, a pedagógiai-szakmai munka eredményességének értékelése;</w:t>
      </w:r>
    </w:p>
    <w:p w:rsidR="0086392D" w:rsidRPr="00C21248" w:rsidRDefault="0086392D" w:rsidP="0086392D">
      <w:pPr>
        <w:pStyle w:val="Szvegtrzs2"/>
        <w:spacing w:after="0" w:line="240" w:lineRule="auto"/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k) a nemzetiségi nyelvén folyó nevelés engedélyezése.</w:t>
      </w:r>
    </w:p>
    <w:p w:rsidR="0086392D" w:rsidRPr="00C21248" w:rsidRDefault="0086392D" w:rsidP="0086392D">
      <w:pPr>
        <w:ind w:left="283"/>
        <w:jc w:val="both"/>
        <w:rPr>
          <w:rFonts w:ascii="Times New Roman" w:hAnsi="Times New Roman"/>
          <w:b/>
          <w:u w:val="single"/>
        </w:rPr>
      </w:pPr>
    </w:p>
    <w:p w:rsidR="0086392D" w:rsidRPr="00C21248" w:rsidRDefault="0086392D" w:rsidP="0086392D">
      <w:pPr>
        <w:jc w:val="both"/>
        <w:rPr>
          <w:rFonts w:ascii="Times New Roman" w:hAnsi="Times New Roman"/>
          <w:b/>
          <w:u w:val="single"/>
        </w:rPr>
      </w:pPr>
      <w:r w:rsidRPr="00C21248">
        <w:rPr>
          <w:rFonts w:ascii="Times New Roman" w:hAnsi="Times New Roman"/>
          <w:b/>
          <w:u w:val="single"/>
        </w:rPr>
        <w:t>II. A Szigetvár - Dél-Zselic Többcélú Kistérségi Társulás Társulási Tanácsára átruházott hatáskörök:</w:t>
      </w:r>
    </w:p>
    <w:p w:rsidR="0086392D" w:rsidRPr="00C21248" w:rsidRDefault="0086392D" w:rsidP="0086392D">
      <w:pPr>
        <w:ind w:left="360"/>
        <w:jc w:val="both"/>
        <w:rPr>
          <w:rFonts w:ascii="Times New Roman" w:hAnsi="Times New Roman"/>
        </w:rPr>
      </w:pPr>
    </w:p>
    <w:p w:rsidR="0086392D" w:rsidRPr="00C21248" w:rsidRDefault="0086392D" w:rsidP="0086392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Szigetvár - Dél-Zselic Többcélú Kistérségi Társulás létrehozásáról szóló megállapodásban meghatározott feladatokban való döntés, azzal, hogy önkormányzati költségvetést érintő ügyekben szükséges a tagönkormányzat képviselő-testületi határozatának meghozatala;</w:t>
      </w:r>
    </w:p>
    <w:p w:rsidR="0086392D" w:rsidRPr="00C21248" w:rsidRDefault="0086392D" w:rsidP="0086392D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Társulási Tanács kizárólagos feladata a szervezeti és működési szabályzat megállapítása, a kistérségi koncepciók és programok elfogadása, költségvetés arányának megállapítása, tisztségviselők, bizottságok megválasztása, munkaszervezet meghatározása, az éves költségvetés, beszámolók és a zárszámadás elfogadása.</w:t>
      </w:r>
    </w:p>
    <w:p w:rsidR="0086392D" w:rsidRPr="00C21248" w:rsidRDefault="0086392D" w:rsidP="0086392D">
      <w:pPr>
        <w:ind w:left="360"/>
        <w:jc w:val="both"/>
        <w:rPr>
          <w:rFonts w:ascii="Times New Roman" w:hAnsi="Times New Roman"/>
        </w:rPr>
      </w:pPr>
    </w:p>
    <w:p w:rsidR="0086392D" w:rsidRPr="00C21248" w:rsidRDefault="0086392D" w:rsidP="0086392D">
      <w:pPr>
        <w:jc w:val="both"/>
        <w:rPr>
          <w:rFonts w:ascii="Times New Roman" w:hAnsi="Times New Roman"/>
        </w:rPr>
      </w:pPr>
    </w:p>
    <w:p w:rsidR="0086392D" w:rsidRPr="00C21248" w:rsidRDefault="0086392D" w:rsidP="0086392D">
      <w:pPr>
        <w:jc w:val="both"/>
        <w:rPr>
          <w:rFonts w:ascii="Times New Roman" w:hAnsi="Times New Roman"/>
        </w:rPr>
      </w:pPr>
    </w:p>
    <w:p w:rsidR="0086392D" w:rsidRPr="00C21248" w:rsidRDefault="0086392D" w:rsidP="0086392D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III</w:t>
      </w:r>
      <w:r w:rsidRPr="00C21248">
        <w:rPr>
          <w:rFonts w:ascii="Times New Roman" w:hAnsi="Times New Roman"/>
          <w:b/>
          <w:u w:val="single"/>
        </w:rPr>
        <w:t>. Mecsek-Dráva Regionális Szilárdhulladék Kezelő Rendszer Létrehozását Célzó Önkormányzat Társulásának Társulási Tanácsára átruházott hatáskörök:</w:t>
      </w:r>
    </w:p>
    <w:p w:rsidR="0086392D" w:rsidRPr="00C21248" w:rsidRDefault="0086392D" w:rsidP="0086392D">
      <w:pPr>
        <w:jc w:val="both"/>
        <w:rPr>
          <w:rFonts w:ascii="Times New Roman" w:hAnsi="Times New Roman"/>
          <w:b/>
          <w:u w:val="single"/>
        </w:rPr>
      </w:pP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éves ügyrendjének, munkatervének jóváhagyása,</w:t>
      </w: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éves költségvetésének és zárszámadásának elfogadása.</w:t>
      </w: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éves feladatai meghatározása.</w:t>
      </w: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éves hozzájárulása, a költségviselés arányának meghatározása.</w:t>
      </w: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térítésmentes és térítésköteles tevékenységének meghatározása.</w:t>
      </w:r>
    </w:p>
    <w:p w:rsidR="0086392D" w:rsidRPr="00C21248" w:rsidRDefault="0086392D" w:rsidP="0086392D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21248">
        <w:rPr>
          <w:rFonts w:ascii="Times New Roman" w:hAnsi="Times New Roman"/>
        </w:rPr>
        <w:t>A társulás SZMSZ-ének és tisztségviselők megválasztása.</w:t>
      </w:r>
    </w:p>
    <w:p w:rsidR="0086392D" w:rsidRPr="00C21248" w:rsidRDefault="0086392D" w:rsidP="0086392D">
      <w:pPr>
        <w:rPr>
          <w:rFonts w:ascii="Times New Roman" w:hAnsi="Times New Roman"/>
        </w:rPr>
      </w:pPr>
    </w:p>
    <w:p w:rsidR="0086392D" w:rsidRPr="00C21248" w:rsidRDefault="0086392D" w:rsidP="0086392D">
      <w:pPr>
        <w:rPr>
          <w:rFonts w:ascii="Times New Roman" w:hAnsi="Times New Roman"/>
        </w:rPr>
      </w:pPr>
    </w:p>
    <w:p w:rsidR="00DA2D87" w:rsidRDefault="00DA2D87">
      <w:bookmarkStart w:id="0" w:name="_GoBack"/>
      <w:bookmarkEnd w:id="0"/>
    </w:p>
    <w:sectPr w:rsidR="00DA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2775"/>
    <w:multiLevelType w:val="hybridMultilevel"/>
    <w:tmpl w:val="B3E048E0"/>
    <w:lvl w:ilvl="0" w:tplc="2F508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26348"/>
    <w:multiLevelType w:val="hybridMultilevel"/>
    <w:tmpl w:val="7B20F116"/>
    <w:lvl w:ilvl="0" w:tplc="2F508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D"/>
    <w:rsid w:val="0086392D"/>
    <w:rsid w:val="00D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01506-56AB-402D-B9B1-D08A1F7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92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86392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6392D"/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86392D"/>
    <w:pPr>
      <w:spacing w:after="160" w:line="240" w:lineRule="exact"/>
    </w:pPr>
    <w:rPr>
      <w:rFonts w:ascii="Tahoma" w:eastAsia="Lucida Sans Unicode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2016-09-21T15:20:00Z</dcterms:created>
  <dcterms:modified xsi:type="dcterms:W3CDTF">2016-09-21T15:20:00Z</dcterms:modified>
</cp:coreProperties>
</file>