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80"/>
      </w:tblGrid>
      <w:tr w:rsidR="00B2606D" w:rsidTr="00CA5235">
        <w:tc>
          <w:tcPr>
            <w:tcW w:w="41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06D" w:rsidRDefault="00B2606D" w:rsidP="00CA5235">
            <w:pPr>
              <w:keepNext/>
              <w:spacing w:after="0" w:line="240" w:lineRule="auto"/>
              <w:rPr>
                <w:rFonts w:ascii="Cambria" w:hAnsi="Cambria"/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bCs/>
                <w:sz w:val="26"/>
                <w:szCs w:val="26"/>
              </w:rPr>
              <w:t>Gávavencsellői Közös Önkormányzati Hivatal</w:t>
            </w:r>
          </w:p>
          <w:p w:rsidR="00B2606D" w:rsidRDefault="00B2606D" w:rsidP="00CA5235">
            <w:pPr>
              <w:spacing w:after="0" w:line="240" w:lineRule="auto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Jegyzőjétől</w:t>
            </w:r>
          </w:p>
          <w:p w:rsidR="00B2606D" w:rsidRDefault="00B2606D" w:rsidP="00CA5235">
            <w:pPr>
              <w:spacing w:after="0" w:line="240" w:lineRule="auto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 xml:space="preserve">4472 Gávavencsellő, Petőfi u. 1. </w:t>
            </w:r>
          </w:p>
          <w:p w:rsidR="00B2606D" w:rsidRDefault="00B2606D" w:rsidP="00CA5235">
            <w:pPr>
              <w:spacing w:after="0" w:line="240" w:lineRule="auto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Telefon: 42/572-500</w:t>
            </w:r>
          </w:p>
          <w:p w:rsidR="00B2606D" w:rsidRDefault="00B2606D" w:rsidP="00CA5235">
            <w:pPr>
              <w:spacing w:after="0" w:line="240" w:lineRule="auto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e-mail: jegyzo@paszab.hu</w:t>
            </w:r>
          </w:p>
        </w:tc>
      </w:tr>
    </w:tbl>
    <w:p w:rsidR="00B2606D" w:rsidRDefault="00B2606D" w:rsidP="00B2606D">
      <w:pPr>
        <w:spacing w:after="0"/>
        <w:jc w:val="center"/>
        <w:rPr>
          <w:rFonts w:ascii="Cambria" w:hAnsi="Cambria"/>
          <w:b/>
          <w:sz w:val="26"/>
          <w:szCs w:val="26"/>
        </w:rPr>
      </w:pPr>
    </w:p>
    <w:p w:rsidR="00B2606D" w:rsidRDefault="00B2606D" w:rsidP="00B2606D">
      <w:pPr>
        <w:spacing w:after="0"/>
        <w:jc w:val="center"/>
        <w:rPr>
          <w:rFonts w:ascii="Cambria" w:hAnsi="Cambria"/>
          <w:b/>
          <w:sz w:val="26"/>
          <w:szCs w:val="26"/>
        </w:rPr>
      </w:pPr>
    </w:p>
    <w:p w:rsidR="00B2606D" w:rsidRDefault="00B2606D" w:rsidP="00B2606D">
      <w:pPr>
        <w:tabs>
          <w:tab w:val="left" w:pos="5812"/>
        </w:tabs>
        <w:spacing w:after="0"/>
        <w:jc w:val="center"/>
        <w:rPr>
          <w:rFonts w:ascii="Cambria" w:hAnsi="Cambria"/>
          <w:b/>
          <w:sz w:val="26"/>
          <w:szCs w:val="26"/>
        </w:rPr>
      </w:pPr>
      <w:r w:rsidRPr="00672B8F">
        <w:rPr>
          <w:rFonts w:ascii="Cambria" w:hAnsi="Cambria"/>
          <w:b/>
          <w:sz w:val="26"/>
          <w:szCs w:val="26"/>
        </w:rPr>
        <w:t>Előterjesztés</w:t>
      </w:r>
    </w:p>
    <w:p w:rsidR="00B2606D" w:rsidRDefault="00B2606D" w:rsidP="00B2606D">
      <w:pPr>
        <w:spacing w:after="0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Paszab Község Önkormányzat Képviselő-testületének Szervezeti és Működési Szabályzatának újraalkotására</w:t>
      </w:r>
    </w:p>
    <w:p w:rsidR="00B2606D" w:rsidRDefault="00B2606D" w:rsidP="00B2606D">
      <w:pPr>
        <w:rPr>
          <w:rFonts w:ascii="Cambria" w:hAnsi="Cambria"/>
          <w:b/>
          <w:sz w:val="26"/>
          <w:szCs w:val="26"/>
        </w:rPr>
      </w:pPr>
    </w:p>
    <w:p w:rsidR="00B2606D" w:rsidRDefault="00B2606D" w:rsidP="00B2606D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Tisztelt Képviselő-testület!</w:t>
      </w:r>
    </w:p>
    <w:p w:rsidR="00B2606D" w:rsidRPr="006F3378" w:rsidRDefault="00B2606D" w:rsidP="00B2606D">
      <w:pPr>
        <w:jc w:val="center"/>
        <w:rPr>
          <w:rFonts w:ascii="Cambria" w:hAnsi="Cambria"/>
          <w:bCs/>
          <w:sz w:val="26"/>
          <w:szCs w:val="26"/>
        </w:rPr>
      </w:pPr>
      <w:r w:rsidRPr="006F3378">
        <w:rPr>
          <w:rFonts w:ascii="Cambria" w:hAnsi="Cambria"/>
          <w:bCs/>
          <w:sz w:val="26"/>
          <w:szCs w:val="26"/>
        </w:rPr>
        <w:t>Általános Indokolás</w:t>
      </w:r>
    </w:p>
    <w:p w:rsidR="00B2606D" w:rsidRPr="00F77ADB" w:rsidRDefault="00B2606D" w:rsidP="00B2606D">
      <w:p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Magyarország helyi önkormányzatairól</w:t>
      </w:r>
      <w:r>
        <w:rPr>
          <w:rFonts w:ascii="Cambria" w:hAnsi="Cambria"/>
          <w:sz w:val="24"/>
          <w:szCs w:val="24"/>
        </w:rPr>
        <w:t xml:space="preserve"> </w:t>
      </w:r>
      <w:r w:rsidRPr="00F77ADB">
        <w:rPr>
          <w:rFonts w:ascii="Cambria" w:hAnsi="Cambria"/>
          <w:sz w:val="24"/>
          <w:szCs w:val="24"/>
        </w:rPr>
        <w:t xml:space="preserve">szóló 2011. évi CLXXXIX. törvény 43.§ (3) bekezdése szerint a képviselő-testület az alakuló, vagy az azt követő ülésén felülvizsgálja Szervezeti és Működési Szabályzatáról szóló rendeletét. </w:t>
      </w:r>
      <w:r>
        <w:rPr>
          <w:rFonts w:ascii="Cambria" w:hAnsi="Cambria"/>
          <w:sz w:val="24"/>
          <w:szCs w:val="24"/>
        </w:rPr>
        <w:t>Paszab Község esetében ez a felülvizsgálat elmaradt.</w:t>
      </w:r>
    </w:p>
    <w:p w:rsidR="00B2606D" w:rsidRPr="00F77ADB" w:rsidRDefault="00B2606D" w:rsidP="00B2606D">
      <w:p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Jelen előterjesztés keretében teljes egészében átdolgozásra került a Szervezeti és Működési Szabályzat valamennyi rendelkezése.</w:t>
      </w:r>
    </w:p>
    <w:p w:rsidR="00B2606D" w:rsidRPr="00F77ADB" w:rsidRDefault="00B2606D" w:rsidP="00B2606D">
      <w:p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A rendelet felülvizsgálata során figyelembe vettem a jogalkotásról szóló törvény rendelkezéseit, kiküszöbölésre kerültek az indokolatlan párhuzamos szabályozások, kikerültek a szövegből azok a rendelkezések, melyeket magasabb szintű jogszabály már szabályoz.</w:t>
      </w:r>
    </w:p>
    <w:p w:rsidR="00B2606D" w:rsidRDefault="00B2606D" w:rsidP="00B2606D">
      <w:p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 xml:space="preserve">A rendelet felépítésénél, a szabályok megfogalmazásánál figyelembe vettem az elmúlt </w:t>
      </w:r>
      <w:r>
        <w:rPr>
          <w:rFonts w:ascii="Cambria" w:hAnsi="Cambria"/>
          <w:sz w:val="24"/>
          <w:szCs w:val="24"/>
        </w:rPr>
        <w:t xml:space="preserve">időszak </w:t>
      </w:r>
      <w:r w:rsidRPr="00F77ADB">
        <w:rPr>
          <w:rFonts w:ascii="Cambria" w:hAnsi="Cambria"/>
          <w:sz w:val="24"/>
          <w:szCs w:val="24"/>
        </w:rPr>
        <w:t>tapasztal</w:t>
      </w:r>
      <w:r>
        <w:rPr>
          <w:rFonts w:ascii="Cambria" w:hAnsi="Cambria"/>
          <w:sz w:val="24"/>
          <w:szCs w:val="24"/>
        </w:rPr>
        <w:t>a</w:t>
      </w:r>
      <w:r w:rsidRPr="00F77ADB">
        <w:rPr>
          <w:rFonts w:ascii="Cambria" w:hAnsi="Cambria"/>
          <w:sz w:val="24"/>
          <w:szCs w:val="24"/>
        </w:rPr>
        <w:t>ta</w:t>
      </w:r>
      <w:r>
        <w:rPr>
          <w:rFonts w:ascii="Cambria" w:hAnsi="Cambria"/>
          <w:sz w:val="24"/>
          <w:szCs w:val="24"/>
        </w:rPr>
        <w:t>it</w:t>
      </w:r>
      <w:r w:rsidRPr="00F77ADB">
        <w:rPr>
          <w:rFonts w:ascii="Cambria" w:hAnsi="Cambria"/>
          <w:sz w:val="24"/>
          <w:szCs w:val="24"/>
        </w:rPr>
        <w:t xml:space="preserve">, valamint hozzáigazítottam </w:t>
      </w:r>
      <w:r>
        <w:rPr>
          <w:rFonts w:ascii="Cambria" w:hAnsi="Cambria"/>
          <w:sz w:val="24"/>
          <w:szCs w:val="24"/>
        </w:rPr>
        <w:t>a Gávavencsellői Közös Önkormányzati Hivatal létrehozásával kapcsolatos szabályokhoz.</w:t>
      </w:r>
    </w:p>
    <w:p w:rsidR="00B2606D" w:rsidRPr="00F77ADB" w:rsidRDefault="00B2606D" w:rsidP="00B2606D">
      <w:p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A rendelet-tervezet elkészítésénél figyelemmel voltam a jogszabályszerkesztésről szóló 61/2009.(XII.14.) IRM rendelet rendelkezéseire.</w:t>
      </w:r>
    </w:p>
    <w:p w:rsidR="00B2606D" w:rsidRPr="00F77ADB" w:rsidRDefault="00B2606D" w:rsidP="00B2606D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Pontosításra kerültek az Önkormányzat szerveinek elnevezései.</w:t>
      </w:r>
    </w:p>
    <w:p w:rsidR="00B2606D" w:rsidRPr="00F77ADB" w:rsidRDefault="00B2606D" w:rsidP="00B2606D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Külön mellékletbe kerültek rendszerezve az önkormányzat önként vállalt feladatai.</w:t>
      </w:r>
    </w:p>
    <w:p w:rsidR="00B2606D" w:rsidRPr="00F77ADB" w:rsidRDefault="00B2606D" w:rsidP="00B2606D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Külön mellékletbe kerültek rendszerezve az Önkormányzat szervei átruházott hatáskörei.</w:t>
      </w:r>
    </w:p>
    <w:p w:rsidR="00B2606D" w:rsidRPr="00F77ADB" w:rsidRDefault="00B2606D" w:rsidP="00B2606D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 xml:space="preserve">Pontosításra kerültek a rendes és rendkívüli ülés összehívásának szabályai, a tárgyalandó előterjesztések tartalma, a munkatervvel, ülésezéssel, ülésvezetéssel kapcsolatos szabályok. A testületi napirendi pontok közé bekerült a polgármester tájékoztatója a két ülés közötti eseményekről, tett intézkedésekről, mely által ez a </w:t>
      </w:r>
      <w:r w:rsidRPr="00F77ADB">
        <w:rPr>
          <w:rFonts w:ascii="Cambria" w:hAnsi="Cambria"/>
          <w:sz w:val="24"/>
          <w:szCs w:val="24"/>
        </w:rPr>
        <w:lastRenderedPageBreak/>
        <w:t>tájékoztatás nem az egyebek napirendi pont keretében hangzik el, hanem külön, jól visszakereshetően jelenik meg a tárgyalás során és a jegyzőkönyvben.</w:t>
      </w:r>
    </w:p>
    <w:p w:rsidR="00B2606D" w:rsidRPr="00F77ADB" w:rsidRDefault="00B2606D" w:rsidP="00B2606D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A döntéshozatallal kapcsolatos szabályok, a határozathozatal és a rendeletalkotás részletei szintén módosításra kerültek, valamint a határozatok és rendeletek megjelölésének szabályai is változtak.</w:t>
      </w:r>
    </w:p>
    <w:p w:rsidR="00B2606D" w:rsidRPr="00F77ADB" w:rsidRDefault="00B2606D" w:rsidP="00B2606D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A gyakorlatban ellátott feladatokhoz igazodtak a jegyzőkönyvvel kapcsolatos szabályok, illetve a közmeghallgatásról szóló szakaszok kiegészültek a polgármester által az önkormányzati feladatellátásról, vagyonról, illetve településpolitikai kérdésekről szóló beszámolóval.</w:t>
      </w:r>
    </w:p>
    <w:p w:rsidR="00B2606D" w:rsidRPr="00F77ADB" w:rsidRDefault="00B2606D" w:rsidP="00B2606D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Új elemként bekerült a rendeletbe a képviselők vagyonnyilatkozattételi eljárásával kapcsolatos szabályozás, azzal együtt, hogy a rendelet-tervezet 5/A.-5/F. melléklete a vagyonnyilatkozatok kezeléséhez tartozó nyomtatványokat tartalmazzák.</w:t>
      </w:r>
    </w:p>
    <w:p w:rsidR="00B2606D" w:rsidRPr="00F77ADB" w:rsidRDefault="00B2606D" w:rsidP="00B2606D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Kiegészítésre kerültek az önkormányzat szervei, a Polgármester, bizottságok, Hivatal, Jegyző esetében a korábbi szabályok.</w:t>
      </w:r>
    </w:p>
    <w:p w:rsidR="00B2606D" w:rsidRPr="00F77ADB" w:rsidRDefault="00B2606D" w:rsidP="00B2606D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A nemzetiségi önkormányzatokkal kapcsolatos szabályok aktualizálásra kerültek.</w:t>
      </w:r>
    </w:p>
    <w:p w:rsidR="00B2606D" w:rsidRDefault="00B2606D" w:rsidP="00B2606D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F3378">
        <w:rPr>
          <w:rFonts w:ascii="Cambria" w:hAnsi="Cambria"/>
          <w:sz w:val="24"/>
          <w:szCs w:val="24"/>
        </w:rPr>
        <w:t>Kiegészült a rendelet a nemzetközi kapcsolatokkal</w:t>
      </w:r>
      <w:r>
        <w:rPr>
          <w:rFonts w:ascii="Cambria" w:hAnsi="Cambria"/>
          <w:sz w:val="24"/>
          <w:szCs w:val="24"/>
        </w:rPr>
        <w:t>.</w:t>
      </w:r>
    </w:p>
    <w:p w:rsidR="00B2606D" w:rsidRPr="006F3378" w:rsidRDefault="00B2606D" w:rsidP="00B2606D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F3378">
        <w:rPr>
          <w:rFonts w:ascii="Cambria" w:hAnsi="Cambria"/>
          <w:sz w:val="24"/>
          <w:szCs w:val="24"/>
        </w:rPr>
        <w:t>Hatályban lévő önkormányzati rendeletünk az önkormányzat vagyonával kapcsolatos szabályokat egyetlen mondat erejéig szabályozta, ez most teljes egészében kiegészült, és a kötelező szabályok a mostani rendelet-tervezetben már szerepelnek.</w:t>
      </w:r>
    </w:p>
    <w:p w:rsidR="00B2606D" w:rsidRPr="00F77ADB" w:rsidRDefault="00B2606D" w:rsidP="00B2606D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Ugyancsak itt kell megemlíteni, hogy az önkormányzati kontroll, ellenőrzési rendszerről a rendelet semmilyen szabályt nem tartalmazott. Visszanézve az elmúlt egy év eseményeire, úgy gondolom rendkívül fontos, hogy az Önkormányzat Szervezeti és Működési Szabályzatában erre vonatkozóan szabályok kerüljenek megállapításra.</w:t>
      </w:r>
    </w:p>
    <w:p w:rsidR="00B2606D" w:rsidRPr="00F77ADB" w:rsidRDefault="00B2606D" w:rsidP="00B2606D">
      <w:pPr>
        <w:pStyle w:val="Listaszerbekezds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 xml:space="preserve">A testületi ülésre meghívottak köre </w:t>
      </w:r>
      <w:r>
        <w:rPr>
          <w:rFonts w:ascii="Cambria" w:hAnsi="Cambria"/>
          <w:sz w:val="24"/>
          <w:szCs w:val="24"/>
        </w:rPr>
        <w:t>bekerült</w:t>
      </w:r>
      <w:r w:rsidRPr="00F77ADB">
        <w:rPr>
          <w:rFonts w:ascii="Cambria" w:hAnsi="Cambria"/>
          <w:sz w:val="24"/>
          <w:szCs w:val="24"/>
        </w:rPr>
        <w:t xml:space="preserve"> a rendelet 4. mellékletébe. A tanácskozási joggal meghívottak körébe bevontam az országgyűlési képviselőt. Az elektronikus testületi anyagküldéssel már nem okoz gondot, hogy képviselő urat meghívóval tájékoztassuk üléseinkről. Ezen a módon mindig értesül arról, hogy önkormányzatunk milyen napirendi pontokat tárgyal, milyen fejlesztésekkel foglalkozik. </w:t>
      </w:r>
    </w:p>
    <w:p w:rsidR="00B2606D" w:rsidRPr="00F77ADB" w:rsidRDefault="00B2606D" w:rsidP="00B2606D">
      <w:pPr>
        <w:jc w:val="both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Kérem az előterjesztés megtárgyalását, javaslataikat, véleményüket és a rendelet-tervezet elfogadását.</w:t>
      </w:r>
    </w:p>
    <w:p w:rsidR="00B2606D" w:rsidRPr="00F77ADB" w:rsidRDefault="00B2606D" w:rsidP="00B2606D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Paszab</w:t>
      </w:r>
      <w:r w:rsidRPr="00F77ADB">
        <w:rPr>
          <w:rFonts w:ascii="Cambria" w:hAnsi="Cambria"/>
          <w:sz w:val="24"/>
          <w:szCs w:val="24"/>
        </w:rPr>
        <w:t>, 20</w:t>
      </w:r>
      <w:r>
        <w:rPr>
          <w:rFonts w:ascii="Cambria" w:hAnsi="Cambria"/>
          <w:sz w:val="24"/>
          <w:szCs w:val="24"/>
        </w:rPr>
        <w:t>20</w:t>
      </w:r>
      <w:r w:rsidRPr="00F77ADB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január 16</w:t>
      </w:r>
      <w:r w:rsidRPr="00F77ADB">
        <w:rPr>
          <w:rFonts w:ascii="Cambria" w:hAnsi="Cambria"/>
          <w:sz w:val="24"/>
          <w:szCs w:val="24"/>
        </w:rPr>
        <w:t>.</w:t>
      </w:r>
    </w:p>
    <w:p w:rsidR="00B2606D" w:rsidRPr="00F77ADB" w:rsidRDefault="00B2606D" w:rsidP="00B2606D">
      <w:pPr>
        <w:spacing w:after="0"/>
        <w:rPr>
          <w:rFonts w:ascii="Cambria" w:hAnsi="Cambria"/>
          <w:sz w:val="24"/>
          <w:szCs w:val="24"/>
        </w:rPr>
      </w:pPr>
    </w:p>
    <w:p w:rsidR="00B2606D" w:rsidRPr="00F77ADB" w:rsidRDefault="00B2606D" w:rsidP="00B2606D">
      <w:pPr>
        <w:spacing w:after="0"/>
        <w:ind w:left="5664" w:firstLine="708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>Bakos Tóth Ildikó</w:t>
      </w:r>
    </w:p>
    <w:p w:rsidR="00B2606D" w:rsidRPr="00F77ADB" w:rsidRDefault="00B2606D" w:rsidP="00B2606D">
      <w:pPr>
        <w:spacing w:after="0"/>
        <w:ind w:left="5664" w:firstLine="708"/>
        <w:rPr>
          <w:rFonts w:ascii="Cambria" w:hAnsi="Cambria"/>
          <w:sz w:val="24"/>
          <w:szCs w:val="24"/>
        </w:rPr>
      </w:pPr>
      <w:r w:rsidRPr="00F77ADB">
        <w:rPr>
          <w:rFonts w:ascii="Cambria" w:hAnsi="Cambria"/>
          <w:sz w:val="24"/>
          <w:szCs w:val="24"/>
        </w:rPr>
        <w:t xml:space="preserve">          jegyző</w:t>
      </w:r>
    </w:p>
    <w:p w:rsidR="00B2606D" w:rsidRDefault="00B2606D" w:rsidP="00B2606D">
      <w:pPr>
        <w:autoSpaceDE w:val="0"/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:rsidR="00B2606D" w:rsidRDefault="00B2606D" w:rsidP="00B2606D">
      <w:pPr>
        <w:autoSpaceDE w:val="0"/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:rsidR="00B2606D" w:rsidRDefault="00B2606D" w:rsidP="00B2606D">
      <w:pPr>
        <w:autoSpaceDE w:val="0"/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:rsidR="00B2606D" w:rsidRDefault="00B2606D" w:rsidP="00B2606D">
      <w:pPr>
        <w:autoSpaceDE w:val="0"/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:rsidR="00B2606D" w:rsidRDefault="00B2606D" w:rsidP="00B2606D">
      <w:pPr>
        <w:autoSpaceDE w:val="0"/>
        <w:spacing w:after="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HATÁSVIZSGÁLATI LAP</w:t>
      </w:r>
    </w:p>
    <w:p w:rsidR="00B2606D" w:rsidRDefault="00B2606D" w:rsidP="00B2606D">
      <w:pPr>
        <w:autoSpaceDE w:val="0"/>
        <w:spacing w:after="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Paszab Község Önkormányzat Képviselő-testületének a </w:t>
      </w:r>
    </w:p>
    <w:p w:rsidR="00B2606D" w:rsidRDefault="00B2606D" w:rsidP="00B2606D">
      <w:pPr>
        <w:autoSpaceDE w:val="0"/>
        <w:spacing w:after="0"/>
        <w:jc w:val="center"/>
      </w:pPr>
      <w:r>
        <w:rPr>
          <w:rFonts w:ascii="Cambria" w:hAnsi="Cambria"/>
          <w:b/>
          <w:bCs/>
          <w:sz w:val="26"/>
          <w:szCs w:val="26"/>
        </w:rPr>
        <w:t>…/2019.(…..)</w:t>
      </w:r>
      <w:r>
        <w:rPr>
          <w:rFonts w:ascii="Cambria" w:hAnsi="Cambria"/>
          <w:b/>
          <w:sz w:val="26"/>
          <w:szCs w:val="26"/>
        </w:rPr>
        <w:t xml:space="preserve"> a Szervezeti és Működési Szabályzatáról szóló önkormányzati rendele</w:t>
      </w:r>
      <w:r>
        <w:rPr>
          <w:rFonts w:ascii="Cambria" w:hAnsi="Cambria"/>
          <w:b/>
          <w:bCs/>
          <w:sz w:val="26"/>
          <w:szCs w:val="26"/>
        </w:rPr>
        <w:t xml:space="preserve">téhez </w:t>
      </w:r>
    </w:p>
    <w:p w:rsidR="00B2606D" w:rsidRDefault="00B2606D" w:rsidP="00B2606D">
      <w:pPr>
        <w:autoSpaceDE w:val="0"/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:rsidR="00B2606D" w:rsidRDefault="00B2606D" w:rsidP="00B2606D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TÁRSADALMI HATÁSOK</w:t>
      </w:r>
      <w:r>
        <w:rPr>
          <w:rFonts w:ascii="Cambria" w:hAnsi="Cambria"/>
          <w:b/>
          <w:bCs/>
          <w:sz w:val="26"/>
          <w:szCs w:val="26"/>
        </w:rPr>
        <w:t>:</w:t>
      </w:r>
      <w:r>
        <w:t xml:space="preserve"> </w:t>
      </w:r>
    </w:p>
    <w:p w:rsidR="00B2606D" w:rsidRPr="00BD12C6" w:rsidRDefault="00B2606D" w:rsidP="00B2606D">
      <w:pPr>
        <w:tabs>
          <w:tab w:val="left" w:pos="540"/>
        </w:tabs>
        <w:suppressAutoHyphens/>
        <w:autoSpaceDN w:val="0"/>
        <w:spacing w:after="0" w:line="240" w:lineRule="auto"/>
        <w:ind w:left="540"/>
        <w:jc w:val="both"/>
        <w:textAlignment w:val="baseline"/>
        <w:rPr>
          <w:rFonts w:ascii="Cambria" w:hAnsi="Cambria"/>
          <w:sz w:val="26"/>
          <w:szCs w:val="26"/>
        </w:rPr>
      </w:pPr>
      <w:r w:rsidRPr="00BD12C6">
        <w:rPr>
          <w:rFonts w:ascii="Cambria" w:hAnsi="Cambria"/>
          <w:sz w:val="26"/>
          <w:szCs w:val="26"/>
        </w:rPr>
        <w:t>A szervezeti és m</w:t>
      </w:r>
      <w:r w:rsidRPr="00BD12C6">
        <w:rPr>
          <w:rFonts w:ascii="Cambria" w:hAnsi="Cambria" w:cs="Arial"/>
          <w:sz w:val="26"/>
          <w:szCs w:val="26"/>
        </w:rPr>
        <w:t>ű</w:t>
      </w:r>
      <w:r w:rsidRPr="00BD12C6">
        <w:rPr>
          <w:rFonts w:ascii="Cambria" w:hAnsi="Cambria"/>
          <w:sz w:val="26"/>
          <w:szCs w:val="26"/>
        </w:rPr>
        <w:t xml:space="preserve">ködési szabályzat </w:t>
      </w:r>
      <w:r>
        <w:rPr>
          <w:rFonts w:ascii="Cambria" w:hAnsi="Cambria"/>
          <w:sz w:val="26"/>
          <w:szCs w:val="26"/>
        </w:rPr>
        <w:t>az önkormányzat alapvető rendelete, az önkormányzati törvény határozza meg a szabályok irányvonalát. Ezen rendeletnek lehetőség szerint</w:t>
      </w:r>
      <w:r w:rsidRPr="00BD12C6">
        <w:rPr>
          <w:rFonts w:ascii="Cambria" w:hAnsi="Cambria"/>
          <w:sz w:val="26"/>
          <w:szCs w:val="26"/>
        </w:rPr>
        <w:t xml:space="preserve"> id</w:t>
      </w:r>
      <w:r w:rsidRPr="00BD12C6">
        <w:rPr>
          <w:rFonts w:ascii="Cambria" w:hAnsi="Cambria" w:cs="Arial"/>
          <w:sz w:val="26"/>
          <w:szCs w:val="26"/>
        </w:rPr>
        <w:t>ő</w:t>
      </w:r>
      <w:r w:rsidRPr="00BD12C6">
        <w:rPr>
          <w:rFonts w:ascii="Cambria" w:hAnsi="Cambria"/>
          <w:sz w:val="26"/>
          <w:szCs w:val="26"/>
        </w:rPr>
        <w:t>tállónak és megfelel</w:t>
      </w:r>
      <w:r w:rsidRPr="00BD12C6">
        <w:rPr>
          <w:rFonts w:ascii="Cambria" w:hAnsi="Cambria" w:cs="Arial"/>
          <w:sz w:val="26"/>
          <w:szCs w:val="26"/>
        </w:rPr>
        <w:t>ő</w:t>
      </w:r>
      <w:r w:rsidRPr="00BD12C6">
        <w:rPr>
          <w:rFonts w:ascii="Cambria" w:hAnsi="Cambria"/>
          <w:sz w:val="26"/>
          <w:szCs w:val="26"/>
        </w:rPr>
        <w:t>en kimunkáltnak kell lennie.</w:t>
      </w:r>
      <w:r>
        <w:rPr>
          <w:rFonts w:ascii="Cambria" w:hAnsi="Cambria"/>
          <w:sz w:val="26"/>
          <w:szCs w:val="26"/>
        </w:rPr>
        <w:t xml:space="preserve"> A teljes felülvizsgálat eredményeként célszerűbb volt egy új rendelet megalkotása, mint a meglévő módosítása.</w:t>
      </w:r>
      <w:r w:rsidRPr="00BD12C6">
        <w:rPr>
          <w:rFonts w:ascii="Cambria" w:hAnsi="Cambria"/>
          <w:sz w:val="26"/>
          <w:szCs w:val="26"/>
        </w:rPr>
        <w:t xml:space="preserve"> A hatályos rendelethez képest eszközölt változások alapvet</w:t>
      </w:r>
      <w:r w:rsidRPr="00BD12C6">
        <w:rPr>
          <w:rFonts w:ascii="Cambria" w:hAnsi="Cambria" w:cs="Arial"/>
          <w:sz w:val="26"/>
          <w:szCs w:val="26"/>
        </w:rPr>
        <w:t>ő</w:t>
      </w:r>
      <w:r w:rsidRPr="00BD12C6">
        <w:rPr>
          <w:rFonts w:ascii="Cambria" w:hAnsi="Cambria"/>
          <w:sz w:val="26"/>
          <w:szCs w:val="26"/>
        </w:rPr>
        <w:t>en hiánypótló jelleg</w:t>
      </w:r>
      <w:r w:rsidRPr="00BD12C6">
        <w:rPr>
          <w:rFonts w:ascii="Cambria" w:hAnsi="Cambria" w:cs="Arial"/>
          <w:sz w:val="26"/>
          <w:szCs w:val="26"/>
        </w:rPr>
        <w:t>ű</w:t>
      </w:r>
      <w:r w:rsidRPr="00BD12C6">
        <w:rPr>
          <w:rFonts w:ascii="Cambria" w:hAnsi="Cambria"/>
          <w:sz w:val="26"/>
          <w:szCs w:val="26"/>
        </w:rPr>
        <w:t>ek, a m</w:t>
      </w:r>
      <w:r w:rsidRPr="00BD12C6">
        <w:rPr>
          <w:rFonts w:ascii="Cambria" w:hAnsi="Cambria" w:cs="Arial"/>
          <w:sz w:val="26"/>
          <w:szCs w:val="26"/>
        </w:rPr>
        <w:t>ű</w:t>
      </w:r>
      <w:r w:rsidRPr="00BD12C6">
        <w:rPr>
          <w:rFonts w:ascii="Cambria" w:hAnsi="Cambria"/>
          <w:sz w:val="26"/>
          <w:szCs w:val="26"/>
        </w:rPr>
        <w:t xml:space="preserve">ködés </w:t>
      </w:r>
      <w:r>
        <w:rPr>
          <w:rFonts w:ascii="Cambria" w:hAnsi="Cambria"/>
          <w:sz w:val="26"/>
          <w:szCs w:val="26"/>
        </w:rPr>
        <w:t>megfelelő szabályozását</w:t>
      </w:r>
      <w:r w:rsidRPr="00BD12C6">
        <w:rPr>
          <w:rFonts w:ascii="Cambria" w:hAnsi="Cambria"/>
          <w:sz w:val="26"/>
          <w:szCs w:val="26"/>
        </w:rPr>
        <w:t xml:space="preserve"> szolgálják</w:t>
      </w:r>
      <w:r>
        <w:rPr>
          <w:rFonts w:ascii="Cambria" w:hAnsi="Cambria"/>
          <w:sz w:val="26"/>
          <w:szCs w:val="26"/>
        </w:rPr>
        <w:t>.</w:t>
      </w:r>
    </w:p>
    <w:p w:rsidR="00B2606D" w:rsidRDefault="00B2606D" w:rsidP="00B2606D">
      <w:pPr>
        <w:spacing w:after="0"/>
        <w:ind w:left="540"/>
        <w:rPr>
          <w:rFonts w:ascii="Cambria" w:hAnsi="Cambria"/>
          <w:b/>
          <w:bCs/>
          <w:sz w:val="26"/>
          <w:szCs w:val="26"/>
        </w:rPr>
      </w:pPr>
    </w:p>
    <w:p w:rsidR="00B2606D" w:rsidRDefault="00B2606D" w:rsidP="00B2606D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GAZDASÁGI HATÁSOK</w:t>
      </w:r>
      <w:r>
        <w:rPr>
          <w:rFonts w:ascii="Cambria" w:hAnsi="Cambria"/>
          <w:b/>
          <w:bCs/>
          <w:sz w:val="26"/>
          <w:szCs w:val="26"/>
        </w:rPr>
        <w:t>:</w:t>
      </w:r>
    </w:p>
    <w:p w:rsidR="00B2606D" w:rsidRDefault="00B2606D" w:rsidP="00B2606D">
      <w:pPr>
        <w:spacing w:after="0"/>
        <w:ind w:left="540"/>
        <w:jc w:val="both"/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Gazdasági hatása a rendelet megalkotásának nincs, mivel az a szervezet működését szabályozza.</w:t>
      </w:r>
    </w:p>
    <w:p w:rsidR="00B2606D" w:rsidRDefault="00B2606D" w:rsidP="00B2606D">
      <w:pPr>
        <w:tabs>
          <w:tab w:val="left" w:pos="540"/>
        </w:tabs>
        <w:spacing w:after="0"/>
        <w:ind w:left="540" w:hanging="540"/>
        <w:rPr>
          <w:rFonts w:ascii="Cambria" w:hAnsi="Cambria"/>
          <w:bCs/>
          <w:sz w:val="26"/>
          <w:szCs w:val="26"/>
        </w:rPr>
      </w:pPr>
    </w:p>
    <w:p w:rsidR="00B2606D" w:rsidRDefault="00B2606D" w:rsidP="00B2606D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KÖLTSÉGVETÉSI HATÁSOK</w:t>
      </w:r>
      <w:r>
        <w:rPr>
          <w:rFonts w:ascii="Cambria" w:hAnsi="Cambria"/>
          <w:b/>
          <w:bCs/>
          <w:sz w:val="26"/>
          <w:szCs w:val="26"/>
        </w:rPr>
        <w:t>:</w:t>
      </w:r>
    </w:p>
    <w:p w:rsidR="00B2606D" w:rsidRDefault="00B2606D" w:rsidP="00B2606D">
      <w:pPr>
        <w:spacing w:after="0"/>
        <w:ind w:left="540"/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A rendelet megalkotása a költségvetési gazdálkodásra nem gyakorol hatást.</w:t>
      </w:r>
    </w:p>
    <w:p w:rsidR="00B2606D" w:rsidRDefault="00B2606D" w:rsidP="00B2606D">
      <w:pPr>
        <w:tabs>
          <w:tab w:val="left" w:pos="540"/>
        </w:tabs>
        <w:spacing w:after="0"/>
        <w:ind w:left="540" w:hanging="540"/>
        <w:rPr>
          <w:rFonts w:ascii="Cambria" w:hAnsi="Cambria"/>
          <w:b/>
          <w:bCs/>
          <w:sz w:val="26"/>
          <w:szCs w:val="26"/>
        </w:rPr>
      </w:pPr>
    </w:p>
    <w:p w:rsidR="00B2606D" w:rsidRDefault="00B2606D" w:rsidP="00B2606D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KÖRNYEZETI HATÁS</w:t>
      </w:r>
      <w:r>
        <w:rPr>
          <w:rFonts w:ascii="Cambria" w:hAnsi="Cambria"/>
          <w:b/>
          <w:bCs/>
          <w:sz w:val="26"/>
          <w:szCs w:val="26"/>
        </w:rPr>
        <w:t>:</w:t>
      </w:r>
    </w:p>
    <w:p w:rsidR="00B2606D" w:rsidRDefault="00B2606D" w:rsidP="00B2606D">
      <w:pPr>
        <w:spacing w:after="0"/>
        <w:ind w:firstLine="540"/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Nem releváns.</w:t>
      </w:r>
    </w:p>
    <w:p w:rsidR="00B2606D" w:rsidRDefault="00B2606D" w:rsidP="00B2606D">
      <w:pPr>
        <w:tabs>
          <w:tab w:val="left" w:pos="540"/>
        </w:tabs>
        <w:spacing w:after="0"/>
        <w:ind w:left="540" w:hanging="540"/>
        <w:rPr>
          <w:rFonts w:ascii="Cambria" w:hAnsi="Cambria"/>
          <w:b/>
          <w:bCs/>
          <w:sz w:val="26"/>
          <w:szCs w:val="26"/>
        </w:rPr>
      </w:pPr>
    </w:p>
    <w:p w:rsidR="00B2606D" w:rsidRDefault="00B2606D" w:rsidP="00B2606D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EGÉSZSÉGI KÖVETKEZMÉNYEK</w:t>
      </w:r>
      <w:r>
        <w:rPr>
          <w:rFonts w:ascii="Cambria" w:hAnsi="Cambria"/>
          <w:b/>
          <w:bCs/>
          <w:sz w:val="26"/>
          <w:szCs w:val="26"/>
        </w:rPr>
        <w:t>:</w:t>
      </w:r>
    </w:p>
    <w:p w:rsidR="00B2606D" w:rsidRDefault="00B2606D" w:rsidP="00B2606D">
      <w:pPr>
        <w:spacing w:after="0"/>
        <w:ind w:left="540"/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Nem releváns.</w:t>
      </w:r>
    </w:p>
    <w:p w:rsidR="00B2606D" w:rsidRDefault="00B2606D" w:rsidP="00B2606D">
      <w:pPr>
        <w:tabs>
          <w:tab w:val="left" w:pos="540"/>
        </w:tabs>
        <w:spacing w:after="0"/>
        <w:ind w:left="540" w:hanging="540"/>
        <w:rPr>
          <w:rFonts w:ascii="Cambria" w:hAnsi="Cambria"/>
          <w:b/>
          <w:bCs/>
          <w:sz w:val="26"/>
          <w:szCs w:val="26"/>
        </w:rPr>
      </w:pPr>
    </w:p>
    <w:p w:rsidR="00B2606D" w:rsidRDefault="00B2606D" w:rsidP="00B2606D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ADMINISZTRATÍV TERHEKET BEFOLYÁSOLÓ HATÁSOK</w:t>
      </w:r>
      <w:r>
        <w:rPr>
          <w:rFonts w:ascii="Cambria" w:hAnsi="Cambria"/>
          <w:b/>
          <w:bCs/>
          <w:sz w:val="26"/>
          <w:szCs w:val="26"/>
        </w:rPr>
        <w:t>:</w:t>
      </w:r>
    </w:p>
    <w:p w:rsidR="00B2606D" w:rsidRDefault="00B2606D" w:rsidP="00B2606D">
      <w:pPr>
        <w:spacing w:after="0"/>
        <w:ind w:left="540"/>
      </w:pPr>
      <w:r>
        <w:rPr>
          <w:rFonts w:ascii="Cambria" w:hAnsi="Cambria"/>
          <w:bCs/>
          <w:sz w:val="26"/>
          <w:szCs w:val="26"/>
        </w:rPr>
        <w:t>A rendelet megalkotása többlet adminisztrációs terhet nem jelent.</w:t>
      </w:r>
    </w:p>
    <w:p w:rsidR="00B2606D" w:rsidRDefault="00B2606D" w:rsidP="00B2606D">
      <w:pPr>
        <w:tabs>
          <w:tab w:val="left" w:pos="540"/>
        </w:tabs>
        <w:spacing w:after="0"/>
        <w:ind w:left="540" w:hanging="540"/>
        <w:rPr>
          <w:rFonts w:ascii="Cambria" w:hAnsi="Cambria"/>
          <w:b/>
          <w:bCs/>
          <w:sz w:val="26"/>
          <w:szCs w:val="26"/>
        </w:rPr>
      </w:pPr>
    </w:p>
    <w:p w:rsidR="00B2606D" w:rsidRDefault="00B2606D" w:rsidP="00B2606D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JOGSZABÁLY MEGALKOTÁSÁNAK SZÜKSÉGESSÉGE, A JOGALKOTÁS ELMARADÁSÁNAK VÁRHATÓ KÖVETKEZMÉNYE</w:t>
      </w:r>
      <w:r>
        <w:rPr>
          <w:rFonts w:ascii="Cambria" w:hAnsi="Cambria"/>
          <w:b/>
          <w:bCs/>
          <w:sz w:val="26"/>
          <w:szCs w:val="26"/>
        </w:rPr>
        <w:t>:</w:t>
      </w:r>
    </w:p>
    <w:p w:rsidR="00B2606D" w:rsidRDefault="00B2606D" w:rsidP="00B2606D">
      <w:pPr>
        <w:tabs>
          <w:tab w:val="left" w:pos="540"/>
        </w:tabs>
        <w:spacing w:after="0"/>
        <w:ind w:left="540"/>
        <w:jc w:val="both"/>
        <w:rPr>
          <w:rFonts w:ascii="Cambria" w:hAnsi="Cambria"/>
          <w:bCs/>
          <w:sz w:val="26"/>
          <w:szCs w:val="26"/>
        </w:rPr>
      </w:pPr>
      <w:r w:rsidRPr="00BD12C6">
        <w:rPr>
          <w:rFonts w:ascii="Cambria" w:hAnsi="Cambria"/>
          <w:bCs/>
          <w:sz w:val="26"/>
          <w:szCs w:val="26"/>
        </w:rPr>
        <w:t xml:space="preserve">A </w:t>
      </w:r>
      <w:r>
        <w:rPr>
          <w:rFonts w:ascii="Cambria" w:hAnsi="Cambria"/>
          <w:bCs/>
          <w:sz w:val="26"/>
          <w:szCs w:val="26"/>
        </w:rPr>
        <w:t xml:space="preserve"> Szervezeti és Működési Szabályzat átdolgozására azért került sor, mert rengeteg szükségtelen, a magasabb szintű jogszabályokban szabályozott rendelkezéseket tartalmazott, másfelől pedig törvényi kötelezettségüknek teszünk eleget azzal, hogy a választást követően az SZMSZ felülvizsgálatát elrendeljük.</w:t>
      </w:r>
    </w:p>
    <w:p w:rsidR="00B2606D" w:rsidRPr="00BD12C6" w:rsidRDefault="00B2606D" w:rsidP="00B2606D">
      <w:pPr>
        <w:tabs>
          <w:tab w:val="left" w:pos="540"/>
        </w:tabs>
        <w:spacing w:after="0"/>
        <w:ind w:left="540"/>
        <w:jc w:val="both"/>
        <w:rPr>
          <w:rFonts w:ascii="Cambria" w:hAnsi="Cambria"/>
          <w:bCs/>
          <w:sz w:val="26"/>
          <w:szCs w:val="26"/>
        </w:rPr>
      </w:pPr>
    </w:p>
    <w:p w:rsidR="00B2606D" w:rsidRDefault="00B2606D" w:rsidP="00B2606D">
      <w:pPr>
        <w:numPr>
          <w:ilvl w:val="0"/>
          <w:numId w:val="1"/>
        </w:numPr>
        <w:tabs>
          <w:tab w:val="left" w:pos="540"/>
        </w:tabs>
        <w:suppressAutoHyphens/>
        <w:autoSpaceDN w:val="0"/>
        <w:spacing w:after="0" w:line="240" w:lineRule="auto"/>
        <w:ind w:left="540" w:hanging="540"/>
        <w:jc w:val="both"/>
        <w:textAlignment w:val="baseline"/>
      </w:pPr>
      <w:r>
        <w:rPr>
          <w:rFonts w:ascii="Cambria" w:hAnsi="Cambria"/>
          <w:b/>
          <w:bCs/>
          <w:sz w:val="26"/>
          <w:szCs w:val="26"/>
          <w:u w:val="single"/>
        </w:rPr>
        <w:t>JOGSZABÁLY ALKALMAZÁSÁHOZ SZÜKSÉGES SZEMÉLYI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>
        <w:rPr>
          <w:rFonts w:ascii="Cambria" w:hAnsi="Cambria"/>
          <w:b/>
          <w:bCs/>
          <w:sz w:val="26"/>
          <w:szCs w:val="26"/>
          <w:u w:val="single"/>
        </w:rPr>
        <w:t>SZERVEZETI, TÁRGYI FELTÉTELEK.:</w:t>
      </w:r>
    </w:p>
    <w:p w:rsidR="00B2606D" w:rsidRDefault="00B2606D" w:rsidP="00B2606D">
      <w:pPr>
        <w:spacing w:after="0"/>
        <w:ind w:left="540"/>
      </w:pPr>
      <w:r>
        <w:rPr>
          <w:rFonts w:ascii="Cambria" w:hAnsi="Cambria"/>
          <w:bCs/>
          <w:sz w:val="26"/>
          <w:szCs w:val="26"/>
        </w:rPr>
        <w:lastRenderedPageBreak/>
        <w:t>A jogszabály alkalmazásához szükséges személyi, szervezeti, tárgyi feltételek biztosítottak.</w:t>
      </w:r>
    </w:p>
    <w:p w:rsidR="00B2606D" w:rsidRDefault="00B2606D" w:rsidP="00B2606D">
      <w:pPr>
        <w:spacing w:after="0"/>
        <w:rPr>
          <w:rFonts w:ascii="Cambria" w:hAnsi="Cambria"/>
          <w:sz w:val="26"/>
          <w:szCs w:val="26"/>
        </w:rPr>
      </w:pPr>
    </w:p>
    <w:p w:rsidR="00B2606D" w:rsidRDefault="00B2606D" w:rsidP="00B2606D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Paszab, 2020.január 16.</w:t>
      </w:r>
    </w:p>
    <w:p w:rsidR="00B2606D" w:rsidRDefault="00B2606D" w:rsidP="00B2606D">
      <w:pPr>
        <w:spacing w:after="0"/>
        <w:rPr>
          <w:rFonts w:ascii="Cambria" w:hAnsi="Cambria"/>
          <w:sz w:val="26"/>
          <w:szCs w:val="26"/>
        </w:rPr>
      </w:pPr>
    </w:p>
    <w:p w:rsidR="00B2606D" w:rsidRDefault="00B2606D" w:rsidP="00B2606D">
      <w:pPr>
        <w:spacing w:after="0"/>
        <w:rPr>
          <w:rFonts w:ascii="Cambria" w:hAnsi="Cambria"/>
          <w:sz w:val="26"/>
          <w:szCs w:val="26"/>
        </w:rPr>
      </w:pPr>
    </w:p>
    <w:p w:rsidR="00B2606D" w:rsidRDefault="00B2606D" w:rsidP="00B2606D">
      <w:pPr>
        <w:spacing w:after="0"/>
        <w:ind w:left="5664" w:firstLine="708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Bakos Tóth Ildikó</w:t>
      </w:r>
    </w:p>
    <w:p w:rsidR="00B2606D" w:rsidRDefault="00B2606D" w:rsidP="00B2606D">
      <w:pPr>
        <w:spacing w:after="0"/>
        <w:ind w:left="5664" w:firstLine="708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jegyző</w:t>
      </w:r>
    </w:p>
    <w:p w:rsidR="00B2606D" w:rsidRPr="006B7332" w:rsidRDefault="00B2606D" w:rsidP="00B2606D">
      <w:pPr>
        <w:rPr>
          <w:rFonts w:ascii="Cambria" w:hAnsi="Cambria"/>
          <w:sz w:val="26"/>
          <w:szCs w:val="26"/>
        </w:rPr>
      </w:pPr>
    </w:p>
    <w:p w:rsidR="00595525" w:rsidRDefault="00595525"/>
    <w:sectPr w:rsidR="00595525" w:rsidSect="001B1253"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14892"/>
      <w:docPartObj>
        <w:docPartGallery w:val="Page Numbers (Top of Page)"/>
        <w:docPartUnique/>
      </w:docPartObj>
    </w:sdtPr>
    <w:sdtEndPr/>
    <w:sdtContent>
      <w:p w:rsidR="001B1253" w:rsidRDefault="00B2606D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1253" w:rsidRDefault="00B2606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16A8"/>
    <w:multiLevelType w:val="multilevel"/>
    <w:tmpl w:val="D8DAD6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32DF2"/>
    <w:multiLevelType w:val="hybridMultilevel"/>
    <w:tmpl w:val="EBA0FF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606D"/>
    <w:rsid w:val="00595525"/>
    <w:rsid w:val="00B2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60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606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26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26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2020-01-23T19:47:00Z</dcterms:created>
  <dcterms:modified xsi:type="dcterms:W3CDTF">2020-01-23T19:47:00Z</dcterms:modified>
</cp:coreProperties>
</file>