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0" w:rsidRDefault="00AB6350" w:rsidP="00AB6350">
      <w:pPr>
        <w:ind w:left="2124" w:firstLine="708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</w:rPr>
        <w:t>I</w:t>
      </w:r>
      <w:r w:rsidR="002A4561">
        <w:rPr>
          <w:rFonts w:ascii="TimesNewRomanPS-BoldMT" w:hAnsi="TimesNewRomanPS-BoldMT" w:cs="TimesNewRomanPS-BoldMT"/>
          <w:b/>
          <w:bCs/>
        </w:rPr>
        <w:t>V</w:t>
      </w:r>
      <w:r>
        <w:rPr>
          <w:rFonts w:ascii="TimesNewRomanPS-BoldMT" w:hAnsi="TimesNewRomanPS-BoldMT" w:cs="TimesNewRomanPS-BoldMT"/>
          <w:b/>
          <w:bCs/>
        </w:rPr>
        <w:t>. számú melléklet</w:t>
      </w:r>
    </w:p>
    <w:p w:rsidR="00AB6350" w:rsidRDefault="00AB6350" w:rsidP="00AB6350">
      <w:pPr>
        <w:jc w:val="center"/>
        <w:rPr>
          <w:rFonts w:ascii="TimesNewRomanPS-BoldMT" w:hAnsi="TimesNewRomanPS-BoldMT" w:cs="TimesNewRomanPS-BoldMT"/>
          <w:b/>
          <w:bCs/>
        </w:rPr>
      </w:pPr>
    </w:p>
    <w:p w:rsidR="00AB6350" w:rsidRDefault="00AB6350" w:rsidP="00AB6350">
      <w:pPr>
        <w:jc w:val="center"/>
        <w:rPr>
          <w:rFonts w:ascii="TimesNewRomanPS-BoldMT" w:hAnsi="TimesNewRomanPS-BoldMT" w:cs="TimesNewRomanPS-BoldMT"/>
          <w:b/>
          <w:bCs/>
        </w:rPr>
      </w:pPr>
    </w:p>
    <w:p w:rsidR="00AB6350" w:rsidRPr="008D2D38" w:rsidRDefault="00AB6350" w:rsidP="00AB6350">
      <w:pPr>
        <w:jc w:val="center"/>
        <w:rPr>
          <w:rFonts w:ascii="TimesNewRomanPS-BoldMT" w:hAnsi="TimesNewRomanPS-BoldMT" w:cs="TimesNewRomanPS-BoldMT"/>
          <w:b/>
          <w:bCs/>
        </w:rPr>
      </w:pPr>
      <w:r w:rsidRPr="008D2D38">
        <w:rPr>
          <w:rFonts w:ascii="TimesNewRomanPS-BoldMT" w:hAnsi="TimesNewRomanPS-BoldMT" w:cs="TimesNewRomanPS-BoldMT"/>
          <w:b/>
          <w:bCs/>
        </w:rPr>
        <w:t>Közvetett támogatások</w:t>
      </w:r>
    </w:p>
    <w:p w:rsidR="00AB6350" w:rsidRDefault="00AB6350" w:rsidP="00AB6350">
      <w:pPr>
        <w:jc w:val="center"/>
      </w:pP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</w:rPr>
      </w:pPr>
      <w:r w:rsidRPr="008D2D38">
        <w:rPr>
          <w:rFonts w:ascii="TimesNewRomanPSMT CE" w:hAnsi="TimesNewRomanPSMT CE" w:cs="TimesNewRomanPSMT CE"/>
        </w:rPr>
        <w:t>Nagyréde Község Önkormányzata az alábbi rendeletekben rögzíti a közvetett támogatások rendjét:</w:t>
      </w: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</w:rPr>
      </w:pPr>
    </w:p>
    <w:p w:rsidR="00AB6350" w:rsidRDefault="00AB6350" w:rsidP="00AB6350">
      <w:pPr>
        <w:jc w:val="both"/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Idegenforgalmi adó:</w:t>
      </w:r>
    </w:p>
    <w:p w:rsidR="00AB6350" w:rsidRPr="00C42ED5" w:rsidRDefault="00AB6350" w:rsidP="00AB6350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imesNewRomanPSMT CE" w:hAnsi="TimesNewRomanPSMT CE" w:cs="TimesNewRomanPSMT CE"/>
        </w:rPr>
      </w:pPr>
      <w:r>
        <w:rPr>
          <w:rFonts w:ascii="TimesNewRomanPSMT CE" w:hAnsi="TimesNewRomanPSMT CE" w:cs="TimesNewRomanPSMT CE"/>
        </w:rPr>
        <w:t>Mentesség:</w:t>
      </w:r>
    </w:p>
    <w:bookmarkStart w:id="1" w:name="pr163"/>
    <w:bookmarkEnd w:id="1"/>
    <w:p w:rsidR="00AB6350" w:rsidRPr="00C42ED5" w:rsidRDefault="00AB6350" w:rsidP="00AB6350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r w:rsidRPr="00C42ED5">
        <w:rPr>
          <w:rFonts w:ascii="TimesNewRomanPSMT CE" w:hAnsi="TimesNewRomanPSMT CE" w:cs="TimesNewRomanPSMT CE"/>
        </w:rPr>
        <w:fldChar w:fldCharType="begin"/>
      </w:r>
      <w:r w:rsidRPr="00C42ED5">
        <w:rPr>
          <w:rFonts w:ascii="TimesNewRomanPSMT CE" w:hAnsi="TimesNewRomanPSMT CE" w:cs="TimesNewRomanPSMT CE"/>
        </w:rPr>
        <w:instrText xml:space="preserve"> HYPERLINK "http://net.jogtar.hu/jr/gen/hjegy_doc.cgi?docid=99000100.TV" \l "lbj69param" </w:instrText>
      </w:r>
      <w:r w:rsidRPr="00C42ED5">
        <w:rPr>
          <w:rFonts w:ascii="TimesNewRomanPSMT CE" w:hAnsi="TimesNewRomanPSMT CE" w:cs="TimesNewRomanPSMT CE"/>
        </w:rPr>
        <w:fldChar w:fldCharType="separate"/>
      </w:r>
      <w:r w:rsidRPr="00C42ED5">
        <w:rPr>
          <w:rFonts w:ascii="TimesNewRomanPSMT CE" w:hAnsi="TimesNewRomanPSMT CE" w:cs="TimesNewRomanPSMT CE"/>
        </w:rPr>
        <w:t>69</w:t>
      </w:r>
      <w:r w:rsidRPr="00C42ED5">
        <w:rPr>
          <w:rFonts w:ascii="TimesNewRomanPSMT CE" w:hAnsi="TimesNewRomanPSMT CE" w:cs="TimesNewRomanPSMT CE"/>
        </w:rPr>
        <w:fldChar w:fldCharType="end"/>
      </w:r>
      <w:r w:rsidRPr="00C42ED5">
        <w:rPr>
          <w:rFonts w:ascii="TimesNewRomanPSMT CE" w:hAnsi="TimesNewRomanPSMT CE" w:cs="TimesNewRomanPSMT CE"/>
        </w:rPr>
        <w:t xml:space="preserve"> a 18. életévét be nem töltött magánszemély;</w:t>
      </w:r>
    </w:p>
    <w:bookmarkStart w:id="2" w:name="pr164"/>
    <w:bookmarkEnd w:id="2"/>
    <w:p w:rsidR="00AB6350" w:rsidRPr="00C42ED5" w:rsidRDefault="00AB6350" w:rsidP="00AB6350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r w:rsidRPr="00C42ED5">
        <w:rPr>
          <w:rFonts w:ascii="TimesNewRomanPSMT CE" w:hAnsi="TimesNewRomanPSMT CE" w:cs="TimesNewRomanPSMT CE"/>
        </w:rPr>
        <w:fldChar w:fldCharType="begin"/>
      </w:r>
      <w:r w:rsidRPr="00C42ED5">
        <w:rPr>
          <w:rFonts w:ascii="TimesNewRomanPSMT CE" w:hAnsi="TimesNewRomanPSMT CE" w:cs="TimesNewRomanPSMT CE"/>
        </w:rPr>
        <w:instrText xml:space="preserve"> HYPERLINK "http://net.jogtar.hu/jr/gen/hjegy_doc.cgi?docid=99000100.TV" \l "lbj70param" </w:instrText>
      </w:r>
      <w:r w:rsidRPr="00C42ED5">
        <w:rPr>
          <w:rFonts w:ascii="TimesNewRomanPSMT CE" w:hAnsi="TimesNewRomanPSMT CE" w:cs="TimesNewRomanPSMT CE"/>
        </w:rPr>
        <w:fldChar w:fldCharType="separate"/>
      </w:r>
      <w:r w:rsidRPr="00C42ED5">
        <w:rPr>
          <w:rFonts w:ascii="TimesNewRomanPSMT CE" w:hAnsi="TimesNewRomanPSMT CE" w:cs="TimesNewRomanPSMT CE"/>
        </w:rPr>
        <w:t>70</w:t>
      </w:r>
      <w:r w:rsidRPr="00C42ED5">
        <w:rPr>
          <w:rFonts w:ascii="TimesNewRomanPSMT CE" w:hAnsi="TimesNewRomanPSMT CE" w:cs="TimesNewRomanPSMT CE"/>
        </w:rPr>
        <w:fldChar w:fldCharType="end"/>
      </w:r>
      <w:r w:rsidRPr="00C42ED5">
        <w:rPr>
          <w:rFonts w:ascii="TimesNewRomanPSMT CE" w:hAnsi="TimesNewRomanPSMT CE" w:cs="TimesNewRomanPSMT CE"/>
        </w:rPr>
        <w:t xml:space="preserve"> a gyógyintézetben fekvőbeteg szakellátásban részesülő vagy szociális intézményben ellátott magánszemély;</w:t>
      </w:r>
    </w:p>
    <w:bookmarkStart w:id="3" w:name="pr165"/>
    <w:bookmarkEnd w:id="3"/>
    <w:p w:rsidR="00AB6350" w:rsidRPr="00C42ED5" w:rsidRDefault="00AB6350" w:rsidP="00AB6350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r w:rsidRPr="00C42ED5">
        <w:rPr>
          <w:rFonts w:ascii="TimesNewRomanPSMT CE" w:hAnsi="TimesNewRomanPSMT CE" w:cs="TimesNewRomanPSMT CE"/>
        </w:rPr>
        <w:fldChar w:fldCharType="begin"/>
      </w:r>
      <w:r w:rsidRPr="00C42ED5">
        <w:rPr>
          <w:rFonts w:ascii="TimesNewRomanPSMT CE" w:hAnsi="TimesNewRomanPSMT CE" w:cs="TimesNewRomanPSMT CE"/>
        </w:rPr>
        <w:instrText xml:space="preserve"> HYPERLINK "http://net.jogtar.hu/jr/gen/hjegy_doc.cgi?docid=99000100.TV" \l "lbj71param" </w:instrText>
      </w:r>
      <w:r w:rsidRPr="00C42ED5">
        <w:rPr>
          <w:rFonts w:ascii="TimesNewRomanPSMT CE" w:hAnsi="TimesNewRomanPSMT CE" w:cs="TimesNewRomanPSMT CE"/>
        </w:rPr>
        <w:fldChar w:fldCharType="separate"/>
      </w:r>
      <w:r w:rsidRPr="00C42ED5">
        <w:rPr>
          <w:rFonts w:ascii="TimesNewRomanPSMT CE" w:hAnsi="TimesNewRomanPSMT CE" w:cs="TimesNewRomanPSMT CE"/>
        </w:rPr>
        <w:t>71</w:t>
      </w:r>
      <w:r w:rsidRPr="00C42ED5">
        <w:rPr>
          <w:rFonts w:ascii="TimesNewRomanPSMT CE" w:hAnsi="TimesNewRomanPSMT CE" w:cs="TimesNewRomanPSMT CE"/>
        </w:rPr>
        <w:fldChar w:fldCharType="end"/>
      </w:r>
      <w:r w:rsidRPr="00C42ED5">
        <w:rPr>
          <w:rFonts w:ascii="TimesNewRomanPSMT CE" w:hAnsi="TimesNewRomanPSMT CE" w:cs="TimesNewRomanPSMT CE"/>
        </w:rPr>
        <w:t xml:space="preserve"> a közép- és felsőfokú oktatási intézménynél tanulói vagy hallgatói jogviszony alapján, hatóság vagy bíróság intézkedése folytán, a szakképzés keretében, a szolgálati kötelezettség teljesítése, vagy a településen székhellyel, vagy telephellyel rendelkező vagy a Htv. 37. §-ának (2) bekezdése szerinti tevékenységet végző vállalkozó esetén vállalkozási tevékenység vagy ezen vállalkozó munkavállalója által folytatott munkavégzés céljából az önkormányzat illetékességi területén tartózkodó magánszemély, továbbá</w:t>
      </w:r>
    </w:p>
    <w:bookmarkStart w:id="4" w:name="pr166"/>
    <w:bookmarkEnd w:id="4"/>
    <w:p w:rsidR="00AB6350" w:rsidRPr="00C42ED5" w:rsidRDefault="00AB6350" w:rsidP="00AB6350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r w:rsidRPr="00C42ED5">
        <w:rPr>
          <w:rFonts w:ascii="TimesNewRomanPSMT CE" w:hAnsi="TimesNewRomanPSMT CE" w:cs="TimesNewRomanPSMT CE"/>
        </w:rPr>
        <w:fldChar w:fldCharType="begin"/>
      </w:r>
      <w:r w:rsidRPr="00C42ED5">
        <w:rPr>
          <w:rFonts w:ascii="TimesNewRomanPSMT CE" w:hAnsi="TimesNewRomanPSMT CE" w:cs="TimesNewRomanPSMT CE"/>
        </w:rPr>
        <w:instrText xml:space="preserve"> HYPERLINK "http://net.jogtar.hu/jr/gen/hjegy_doc.cgi?docid=99000100.TV" \l "lbj72param" </w:instrText>
      </w:r>
      <w:r w:rsidRPr="00C42ED5">
        <w:rPr>
          <w:rFonts w:ascii="TimesNewRomanPSMT CE" w:hAnsi="TimesNewRomanPSMT CE" w:cs="TimesNewRomanPSMT CE"/>
        </w:rPr>
        <w:fldChar w:fldCharType="separate"/>
      </w:r>
      <w:r w:rsidRPr="00C42ED5">
        <w:rPr>
          <w:rFonts w:ascii="TimesNewRomanPSMT CE" w:hAnsi="TimesNewRomanPSMT CE" w:cs="TimesNewRomanPSMT CE"/>
        </w:rPr>
        <w:t>72</w:t>
      </w:r>
      <w:r w:rsidRPr="00C42ED5">
        <w:rPr>
          <w:rFonts w:ascii="TimesNewRomanPSMT CE" w:hAnsi="TimesNewRomanPSMT CE" w:cs="TimesNewRomanPSMT CE"/>
        </w:rPr>
        <w:fldChar w:fldCharType="end"/>
      </w:r>
      <w:r w:rsidRPr="00C42ED5">
        <w:rPr>
          <w:rFonts w:ascii="TimesNewRomanPSMT CE" w:hAnsi="TimesNewRomanPSMT CE" w:cs="TimesNewRomanPSMT CE"/>
        </w:rPr>
        <w:t xml:space="preserve"> aki az önkormányzat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hozzátartozója [Ptk. 685. § b) pontja];</w:t>
      </w:r>
    </w:p>
    <w:bookmarkStart w:id="5" w:name="pr167"/>
    <w:bookmarkEnd w:id="5"/>
    <w:p w:rsidR="00AB6350" w:rsidRPr="00C42ED5" w:rsidRDefault="00AB6350" w:rsidP="00AB6350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r w:rsidRPr="00C42ED5">
        <w:rPr>
          <w:rFonts w:ascii="TimesNewRomanPSMT CE" w:hAnsi="TimesNewRomanPSMT CE" w:cs="TimesNewRomanPSMT CE"/>
        </w:rPr>
        <w:fldChar w:fldCharType="begin"/>
      </w:r>
      <w:r w:rsidRPr="00C42ED5">
        <w:rPr>
          <w:rFonts w:ascii="TimesNewRomanPSMT CE" w:hAnsi="TimesNewRomanPSMT CE" w:cs="TimesNewRomanPSMT CE"/>
        </w:rPr>
        <w:instrText xml:space="preserve"> HYPERLINK "http://net.jogtar.hu/jr/gen/hjegy_doc.cgi?docid=99000100.TV" \l "lbj73param" </w:instrText>
      </w:r>
      <w:r w:rsidRPr="00C42ED5">
        <w:rPr>
          <w:rFonts w:ascii="TimesNewRomanPSMT CE" w:hAnsi="TimesNewRomanPSMT CE" w:cs="TimesNewRomanPSMT CE"/>
        </w:rPr>
        <w:fldChar w:fldCharType="separate"/>
      </w:r>
      <w:r w:rsidRPr="00C42ED5">
        <w:rPr>
          <w:rFonts w:ascii="TimesNewRomanPSMT CE" w:hAnsi="TimesNewRomanPSMT CE" w:cs="TimesNewRomanPSMT CE"/>
        </w:rPr>
        <w:t>73</w:t>
      </w:r>
      <w:r w:rsidRPr="00C42ED5">
        <w:rPr>
          <w:rFonts w:ascii="TimesNewRomanPSMT CE" w:hAnsi="TimesNewRomanPSMT CE" w:cs="TimesNewRomanPSMT CE"/>
        </w:rPr>
        <w:fldChar w:fldCharType="end"/>
      </w:r>
      <w:r w:rsidRPr="00C42ED5">
        <w:rPr>
          <w:rFonts w:ascii="TimesNewRomanPSMT CE" w:hAnsi="TimesNewRomanPSMT CE" w:cs="TimesNewRomanPSMT CE"/>
        </w:rPr>
        <w:t xml:space="preserve"> az egyház tulajdonában lévő épületben, telken vendégéjszakát - kizárólag az egyház hitéleti tevékenységében való részvétel céljából - eltöltő egyházi személy.</w:t>
      </w:r>
    </w:p>
    <w:p w:rsidR="00AB6350" w:rsidRPr="00C42ED5" w:rsidRDefault="00AB6350" w:rsidP="00AB6350">
      <w:pPr>
        <w:jc w:val="both"/>
        <w:rPr>
          <w:rFonts w:ascii="TimesNewRomanPSMT CE" w:hAnsi="TimesNewRomanPSMT CE" w:cs="TimesNewRomanPSMT CE"/>
        </w:rPr>
      </w:pPr>
    </w:p>
    <w:p w:rsidR="00AB6350" w:rsidRDefault="00AB6350" w:rsidP="00AB6350">
      <w:pPr>
        <w:jc w:val="both"/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Gépjárműadó:</w:t>
      </w:r>
    </w:p>
    <w:p w:rsidR="00AB6350" w:rsidRPr="00C42ED5" w:rsidRDefault="00AB6350" w:rsidP="00AB6350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imesNewRomanPSMT CE" w:hAnsi="TimesNewRomanPSMT CE" w:cs="TimesNewRomanPSMT CE"/>
        </w:rPr>
      </w:pPr>
      <w:r w:rsidRPr="00C42ED5">
        <w:rPr>
          <w:rFonts w:ascii="TimesNewRomanPSMT CE" w:hAnsi="TimesNewRomanPSMT CE" w:cs="TimesNewRomanPSMT CE"/>
        </w:rPr>
        <w:t>Mentes az adó alól</w:t>
      </w:r>
      <w:r>
        <w:rPr>
          <w:rFonts w:ascii="TimesNewRomanPSMT CE" w:hAnsi="TimesNewRomanPSMT CE" w:cs="TimesNewRomanPSMT CE"/>
        </w:rPr>
        <w:t>: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6" w:name="pr30"/>
      <w:bookmarkEnd w:id="6"/>
      <w:r w:rsidRPr="00C42ED5">
        <w:rPr>
          <w:rFonts w:ascii="TimesNewRomanPSMT CE" w:hAnsi="TimesNewRomanPSMT CE" w:cs="TimesNewRomanPSMT CE"/>
        </w:rPr>
        <w:t>a költségvetési szerv,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7" w:name="pr31"/>
      <w:bookmarkEnd w:id="7"/>
      <w:r w:rsidRPr="00C42ED5">
        <w:rPr>
          <w:rFonts w:ascii="TimesNewRomanPSMT CE" w:hAnsi="TimesNewRomanPSMT CE" w:cs="TimesNewRomanPSMT CE"/>
        </w:rPr>
        <w:t>az egyesület, az alapítvány a tulajdonában lévő gépjármű után, feltéve, ha a tárgyévet megelőző évben társasági adófizetési kötelezettsége nem keletkezett,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8" w:name="pr32"/>
      <w:bookmarkEnd w:id="8"/>
      <w:r w:rsidRPr="00C42ED5">
        <w:rPr>
          <w:rFonts w:ascii="TimesNewRomanPSMT CE" w:hAnsi="TimesNewRomanPSMT CE" w:cs="TimesNewRomanPSMT CE"/>
        </w:rPr>
        <w:t>az autóbusz, ha az adóalany a tárgyévet megelőző évben elért számviteli törvény szerinti nettó árbevételének legalább 75%-a helyi és helyközi menetrendszerinti közúti tömegközlekedés folytatásából származott. A feltétel teljesüléséről az adóalanynak nyilatkoznia kell,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9" w:name="pr33"/>
      <w:bookmarkEnd w:id="9"/>
      <w:r w:rsidRPr="00C42ED5">
        <w:rPr>
          <w:rFonts w:ascii="TimesNewRomanPSMT CE" w:hAnsi="TimesNewRomanPSMT CE" w:cs="TimesNewRomanPSMT CE"/>
        </w:rPr>
        <w:t>az egyház tulajdonában lévő gépjármű,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10" w:name="pr34"/>
      <w:bookmarkEnd w:id="10"/>
      <w:r w:rsidRPr="00C42ED5">
        <w:rPr>
          <w:rFonts w:ascii="TimesNewRomanPSMT CE" w:hAnsi="TimesNewRomanPSMT CE" w:cs="TimesNewRomanPSMT CE"/>
        </w:rPr>
        <w:t>a létesítményi tűzoltóságot fenntartó gazdasági szervezetek azon tűzoltó szerkocsinak minősülő gépjárművei, melyek riasztás esetén részt vesznek a tűz elleni védekezésben, illetve a műszaki mentésben,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11" w:name="pr35"/>
      <w:bookmarkEnd w:id="11"/>
      <w:r w:rsidRPr="00C42ED5">
        <w:rPr>
          <w:rFonts w:ascii="TimesNewRomanPSMT CE" w:hAnsi="TimesNewRomanPSMT CE" w:cs="TimesNewRomanPSMT CE"/>
        </w:rPr>
        <w:t xml:space="preserve">a súlyos mozgáskorlátozott személy, a súlyos mozgáskorlátozott kiskorú, a cselekvőképességet korlátozó (kizáró) gondnokság alatt álló súlyos mozgáskorlátozott nagykorú személyt rendszeresen szállító, vele közös háztartásban élő szülő - ideértve a nevelő-, mostoha- vagy örökbefogadó szülőt is - (a továbbiakban együtt: mentességre jogosult adóalany) egy darab, 100 kW teljesítményt el nem érő, nem személytaxiként üzemelő személygépkocsija után </w:t>
      </w:r>
      <w:r w:rsidRPr="00C42ED5">
        <w:rPr>
          <w:rFonts w:ascii="TimesNewRomanPSMT CE" w:hAnsi="TimesNewRomanPSMT CE" w:cs="TimesNewRomanPSMT CE"/>
        </w:rPr>
        <w:lastRenderedPageBreak/>
        <w:t>legfeljebb 13 000 forint erejéig. Ha a mentességre jogosult adóalany adóalanyisága és adókötelezettsége az adóévben több személygépkocsi után is fenn áll, akkor a mentesség kizárólag egy, a legkisebb teljesítményű személygépkocsi után jár,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12" w:name="pr36"/>
      <w:bookmarkEnd w:id="12"/>
      <w:r w:rsidRPr="00C42ED5">
        <w:rPr>
          <w:rFonts w:ascii="TimesNewRomanPSMT CE" w:hAnsi="TimesNewRomanPSMT CE" w:cs="TimesNewRomanPSMT CE"/>
        </w:rPr>
        <w:t>a kizárólag elektromos hajtómotorral ellátott személygépkocsi,</w:t>
      </w:r>
      <w:bookmarkStart w:id="13" w:name="pr37"/>
      <w:bookmarkEnd w:id="13"/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14" w:name="pr38"/>
      <w:bookmarkEnd w:id="14"/>
      <w:r w:rsidRPr="00C42ED5">
        <w:rPr>
          <w:rFonts w:ascii="TimesNewRomanPSMT CE" w:hAnsi="TimesNewRomanPSMT CE" w:cs="TimesNewRomanPSMT CE"/>
        </w:rPr>
        <w:t>j) az a gépjármű, amelynek adómentességét nemzetközi egyezmény vagy viszonosság biztosítja. A viszonosság tekintetében az adópolitikáért felelős miniszter állásfoglalása az irányadó,</w:t>
      </w:r>
    </w:p>
    <w:p w:rsidR="00AB6350" w:rsidRPr="00C42ED5" w:rsidRDefault="00AB6350" w:rsidP="00AB6350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rFonts w:ascii="TimesNewRomanPSMT CE" w:hAnsi="TimesNewRomanPSMT CE" w:cs="TimesNewRomanPSMT CE"/>
        </w:rPr>
      </w:pPr>
      <w:bookmarkStart w:id="15" w:name="pr39"/>
      <w:bookmarkEnd w:id="15"/>
      <w:r w:rsidRPr="00C42ED5">
        <w:rPr>
          <w:rFonts w:ascii="TimesNewRomanPSMT CE" w:hAnsi="TimesNewRomanPSMT CE" w:cs="TimesNewRomanPSMT CE"/>
        </w:rPr>
        <w:t>k) az Észak-atlanti Szerződés Szervezete, az Észak-atlanti Szerződés alapján felállított nemzetközi katonai parancsnokságok, továbbá az Észak-atlanti Szerződés tagállamainak és a Békepartnerség más részt vevő államainak Magyarországon tartózkodó fegyveres erői, és e fegyveres erők és parancsnokságok személyi állományába tartozó vagy alkalmazásában álló nem magyar állampolgárságú, katonai szolgálatban lévő és polgári állományú személyek tulajdonában lévő gépjármű.</w:t>
      </w:r>
    </w:p>
    <w:p w:rsidR="00AB6350" w:rsidRPr="00C42ED5" w:rsidRDefault="00AB6350" w:rsidP="00AB6350">
      <w:pPr>
        <w:jc w:val="both"/>
        <w:rPr>
          <w:rFonts w:ascii="TimesNewRomanPSMT CE" w:hAnsi="TimesNewRomanPSMT CE" w:cs="TimesNewRomanPSMT CE"/>
        </w:rPr>
      </w:pP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  <w:i/>
          <w:u w:val="single"/>
        </w:rPr>
      </w:pPr>
      <w:r w:rsidRPr="008D2D38">
        <w:rPr>
          <w:rFonts w:ascii="TimesNewRomanPSMT CE" w:hAnsi="TimesNewRomanPSMT CE" w:cs="TimesNewRomanPSMT CE"/>
          <w:i/>
          <w:u w:val="single"/>
        </w:rPr>
        <w:t>Talajterhelés:</w:t>
      </w: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</w:rPr>
      </w:pPr>
      <w:r w:rsidRPr="008D2D38">
        <w:rPr>
          <w:rFonts w:ascii="TimesNewRomanPSMT CE" w:hAnsi="TimesNewRomanPSMT CE" w:cs="TimesNewRomanPSMT CE"/>
        </w:rPr>
        <w:t>A talajterhelési díjról szóló 11/2005. ( VI. 29.) KT rendelet 4.§ (1) bekezdése szerint hivatkozva a környezetterhelési díjról szóló 2003. évi LXXXIX. törvény 11.§ (2) bekezdésében foglaltakra: „Nem terheli díjfizetési kötelezettség azt a kibocsátót, aki külön jogszabályok szerint egyedi szennyvízelhelyezési kislétesítményt, illetve egyedi szennyvíztisztító kisberendezést alkalmaz és a kibocsátás közvetlen környezetében a kibocsátó által létesített megfigyelő objektumban a talajjal kapcsolatban lévő felszín alatti vízben a kibocsátó által évente vizsgált nitrát-, ammónium-, szulfát-, kloridtartalom egyik komponens tekintetében sem haladja meg 20%-kal a 2005. évben, illetve a közcsatorna üzembe helyezését követő hónapban végzett alapállapot-felmérés keretében mért értékeket.”</w:t>
      </w: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</w:rPr>
      </w:pP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</w:rPr>
      </w:pPr>
      <w:r w:rsidRPr="008D2D38">
        <w:rPr>
          <w:rFonts w:ascii="TimesNewRomanPSMT CE" w:hAnsi="TimesNewRomanPSMT CE" w:cs="TimesNewRomanPSMT CE"/>
        </w:rPr>
        <w:t>A talajterhelési díjról szóló 11/2005. ( VI. 29.) KT rendelet 4.§ (2) bekezdése szerint „A talajterhelési díj alapja csökkenhető azzal a számlákkal igazolt mennyiséggel, amelyet a kibocsátó szennyvíztárolójából, olyan arra feljogosított szervezettel szállítat el, amely a folyékony hulladék jogszabályi előírások szerinti elhelyezését igazolja.”</w:t>
      </w:r>
    </w:p>
    <w:p w:rsidR="00AB6350" w:rsidRPr="008D2D38" w:rsidRDefault="00AB6350" w:rsidP="00AB6350">
      <w:pPr>
        <w:jc w:val="both"/>
        <w:rPr>
          <w:rFonts w:ascii="TimesNewRomanPSMT CE" w:hAnsi="TimesNewRomanPSMT CE" w:cs="TimesNewRomanPSMT CE"/>
        </w:rPr>
      </w:pPr>
    </w:p>
    <w:p w:rsidR="00AB6350" w:rsidRDefault="00AB6350" w:rsidP="00AB6350">
      <w:pPr>
        <w:jc w:val="both"/>
        <w:rPr>
          <w:rFonts w:ascii="TimesNewRomanPSMT CE" w:hAnsi="TimesNewRomanPSMT CE" w:cs="TimesNewRomanPSMT CE"/>
        </w:rPr>
      </w:pPr>
      <w:r w:rsidRPr="008D2D38">
        <w:rPr>
          <w:rFonts w:ascii="TimesNewRomanPSMT CE" w:hAnsi="TimesNewRomanPSMT CE" w:cs="TimesNewRomanPSMT CE"/>
        </w:rPr>
        <w:t>A talajterhelési díjról szóló 11/2005. ( VI. 29.) KT rendelet 4.§ (3) bekezdése szerint mentességben részesül a 70.</w:t>
      </w:r>
      <w:r>
        <w:rPr>
          <w:rFonts w:ascii="TimesNewRomanPSMT CE" w:hAnsi="TimesNewRomanPSMT CE" w:cs="TimesNewRomanPSMT CE"/>
        </w:rPr>
        <w:t xml:space="preserve"> </w:t>
      </w:r>
      <w:r w:rsidRPr="008D2D38">
        <w:rPr>
          <w:rFonts w:ascii="TimesNewRomanPSMT CE" w:hAnsi="TimesNewRomanPSMT CE" w:cs="TimesNewRomanPSMT CE"/>
        </w:rPr>
        <w:t>éven felüli egyedül élő személy, valamint a kizárólag kerti csappal rendelkező ingatlantulajdonos.</w:t>
      </w:r>
    </w:p>
    <w:p w:rsidR="00AB6350" w:rsidRDefault="00AB6350" w:rsidP="00AB6350">
      <w:pPr>
        <w:jc w:val="both"/>
        <w:rPr>
          <w:rFonts w:ascii="TimesNewRomanPSMT CE" w:hAnsi="TimesNewRomanPSMT CE" w:cs="TimesNewRomanPSMT CE"/>
        </w:rPr>
      </w:pPr>
    </w:p>
    <w:p w:rsidR="00C55288" w:rsidRDefault="00AB6350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Ellátottak térítési díjának méltányossági alapon történő elengedés</w:t>
      </w: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A helyi szociális rendeleteinkben, a gyermekek étkezéséhez kapcsolódó normatív kedvezmények :</w:t>
      </w: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A kedvezményben részesülő gyermekek száma .</w:t>
      </w: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A helyben, a Klebersberg Kuno Intézményfenntartó Központ által működtetett Szent Imre Általános Iskola és Alapfokú Művészetoktatási Intézményben foglalkoztatott pedagógusok étkezési térítési díjának kedvezménye :</w:t>
      </w: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Az étkezést igénybevevő pedagógusok létszáma :</w:t>
      </w:r>
    </w:p>
    <w:p w:rsidR="00C55288" w:rsidRDefault="00C55288" w:rsidP="00C55288">
      <w:pPr>
        <w:rPr>
          <w:rFonts w:ascii="TimesNewRomanPSMT CE" w:hAnsi="TimesNewRomanPSMT CE" w:cs="TimesNewRomanPSMT CE"/>
          <w:i/>
          <w:u w:val="single"/>
        </w:rPr>
      </w:pPr>
    </w:p>
    <w:p w:rsidR="00B62AC7" w:rsidRDefault="00B62AC7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lastRenderedPageBreak/>
        <w:t>A helyi lakossági kommunális adórendeletben ,2014.jan. 1-től a 70 éven felüli,egyedülállóak számára biztosított adókedvezmény :</w:t>
      </w:r>
    </w:p>
    <w:p w:rsidR="00B62AC7" w:rsidRDefault="00B62AC7" w:rsidP="00C55288">
      <w:pPr>
        <w:rPr>
          <w:rFonts w:ascii="TimesNewRomanPSMT CE" w:hAnsi="TimesNewRomanPSMT CE" w:cs="TimesNewRomanPSMT CE"/>
          <w:i/>
          <w:u w:val="single"/>
        </w:rPr>
      </w:pPr>
    </w:p>
    <w:p w:rsidR="00AB6350" w:rsidRPr="00C55288" w:rsidRDefault="00B62AC7" w:rsidP="00C55288">
      <w:pPr>
        <w:rPr>
          <w:rFonts w:ascii="TimesNewRomanPSMT CE" w:hAnsi="TimesNewRomanPSMT CE" w:cs="TimesNewRomanPSMT CE"/>
          <w:i/>
          <w:u w:val="single"/>
        </w:rPr>
      </w:pPr>
      <w:r>
        <w:rPr>
          <w:rFonts w:ascii="TimesNewRomanPSMT CE" w:hAnsi="TimesNewRomanPSMT CE" w:cs="TimesNewRomanPSMT CE"/>
          <w:i/>
          <w:u w:val="single"/>
        </w:rPr>
        <w:t>Az előzetesen számitott igénbevevők száma : 90 fő</w:t>
      </w:r>
      <w:r w:rsidR="00AB6350">
        <w:rPr>
          <w:rFonts w:ascii="TimesNewRomanPSMT" w:hAnsi="TimesNewRomanPSMT" w:cs="TimesNewRomanPSMT"/>
        </w:rPr>
        <w:br w:type="page"/>
      </w:r>
    </w:p>
    <w:sectPr w:rsidR="00AB6350" w:rsidRPr="00C55288" w:rsidSect="004A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211B"/>
    <w:multiLevelType w:val="hybridMultilevel"/>
    <w:tmpl w:val="9554389E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78023F3D"/>
    <w:multiLevelType w:val="hybridMultilevel"/>
    <w:tmpl w:val="726ADD6C"/>
    <w:lvl w:ilvl="0" w:tplc="040E0017">
      <w:start w:val="1"/>
      <w:numFmt w:val="lowerLetter"/>
      <w:lvlText w:val="%1)"/>
      <w:lvlJc w:val="left"/>
      <w:pPr>
        <w:ind w:left="111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0"/>
    <w:rsid w:val="002A4561"/>
    <w:rsid w:val="00397274"/>
    <w:rsid w:val="00423B34"/>
    <w:rsid w:val="004A0B57"/>
    <w:rsid w:val="00AB6350"/>
    <w:rsid w:val="00B62AC7"/>
    <w:rsid w:val="00C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B63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B63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Kerek Lászlóné</dc:creator>
  <cp:lastModifiedBy>Balázs József</cp:lastModifiedBy>
  <cp:revision>2</cp:revision>
  <dcterms:created xsi:type="dcterms:W3CDTF">2014-02-22T16:01:00Z</dcterms:created>
  <dcterms:modified xsi:type="dcterms:W3CDTF">2014-02-22T16:01:00Z</dcterms:modified>
</cp:coreProperties>
</file>