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cs="Times New Roman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cs="Times New Roman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Hedrehely Község Önkormányzata Képviselő-testületének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2/2021. (III.12.) önkormányzati rendelete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az önkormányzat 2021. évi költségvetéséről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zvegtrzs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Hedrehely Község Polgármestere a katasztrófavédelemről és a hozzá kapcsolódó egyes törvények módosításáról szóló 2011. évi CXXVIII. törvény 46. § (4) bekezdésben kapott felhatalmazása alapján a 27/2021. (I. 29.) Korm. rendelettel kihirdetett veszélyhelyzetre figyelemmel Hedrehely Község Önkormányzata Képviselő-testülete feladat- és hatáskörében eljárva, valamint az Alaptörvény 32. cikk (2) bekezdésében meghatározott eredeti jogalkotói hatáskörében, az Alaptörvény 32. cikk (1) bekezdés f) pontjában meghatározott feladatkörében eljárva Hedrehely Község Önkormányzata 2021. évi költségvetéséről a következőket rendeli el.</w:t>
      </w:r>
    </w:p>
    <w:p>
      <w:pPr>
        <w:pStyle w:val="NoSpacing"/>
        <w:ind w:left="142" w:hanging="0"/>
        <w:jc w:val="center"/>
        <w:rPr>
          <w:rFonts w:cs="Times New Roman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142" w:hanging="0"/>
        <w:jc w:val="center"/>
        <w:rPr>
          <w:rFonts w:cs="Times New Roman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142" w:hanging="0"/>
        <w:jc w:val="center"/>
        <w:rPr>
          <w:rFonts w:cs="Times New Roman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142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I.fejezet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ind w:left="142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ÁLTALÁNOS RENDELKEZÉSEK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rendelet hatálya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rendelet hatálya a képviselő-testületre és annak szerveire terjed ki. </w:t>
      </w:r>
    </w:p>
    <w:p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rendelet meghatározza a kötelező és önként vállalt feladatok ellátásához szükséges bevételeket és kiadásokat, figyelemmel a 2021. évi gazdálkodás főbb szabályaira.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címrendje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Hedrehely Község Polgármestere a címrendet az alábbiak szerint állapítja meg.</w:t>
      </w:r>
    </w:p>
    <w:p>
      <w:pPr>
        <w:pStyle w:val="NoSpacing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- Visnye Község Önkormányzata önálló címet alkot.</w:t>
      </w:r>
    </w:p>
    <w:p>
      <w:pPr>
        <w:pStyle w:val="NoSpacing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cs="Times New Roman"/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II.fejezet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BEVÉTELEI ÉS KIADÁSAI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bevételei és kiadásai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Hedrehely Község Polgármestere az önkormányzat és költségvetési szerve együttes 2021. évi költségvetését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bookmarkStart w:id="0" w:name="_Hlk2605982"/>
      <w:r>
        <w:rPr>
          <w:rFonts w:cs="Times New Roman" w:ascii="Times New Roman" w:hAnsi="Times New Roman"/>
          <w:b/>
          <w:sz w:val="24"/>
          <w:szCs w:val="24"/>
        </w:rPr>
        <w:t>70.450.605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 xml:space="preserve"> Ft összes költségvetési bevétellel,</w:t>
      </w:r>
    </w:p>
    <w:p>
      <w:pPr>
        <w:pStyle w:val="NoSpacing"/>
        <w:ind w:left="2124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>70.450.605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Ft összes költségvetési kiadással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állapítja meg. </w:t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Ezen belül: 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a működési célú bevételt</w:t>
        <w:tab/>
        <w:tab/>
        <w:tab/>
        <w:tab/>
        <w:tab/>
        <w:tab/>
        <w:t>41.865.918 Ft-ban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felhalmozás célú bevétel</w:t>
      </w:r>
      <w:r>
        <w:rPr>
          <w:rFonts w:cs="Times New Roman" w:ascii="Times New Roman" w:hAnsi="Times New Roman"/>
          <w:color w:val="FF0000"/>
          <w:sz w:val="24"/>
          <w:szCs w:val="24"/>
        </w:rPr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28.584.687 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előző évi pénzmaradvány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működési</w:t>
        <w:tab/>
        <w:tab/>
        <w:tab/>
        <w:tab/>
        <w:tab/>
        <w:tab/>
        <w:tab/>
        <w:tab/>
        <w:tab/>
        <w:t>28.584.687 Ft-ban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felhalmozási</w:t>
        <w:tab/>
      </w:r>
      <w:r>
        <w:rPr>
          <w:rFonts w:cs="Times New Roman" w:ascii="Times New Roman" w:hAnsi="Times New Roman"/>
          <w:color w:val="FF0000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      </w:t>
        <w:tab/>
        <w:tab/>
        <w:t xml:space="preserve">   0Ft-ban</w:t>
        <w:tab/>
        <w:t xml:space="preserve">     </w:t>
        <w:tab/>
        <w:t xml:space="preserve">  </w:t>
        <w:tab/>
        <w:tab/>
        <w:tab/>
        <w:tab/>
        <w:tab/>
        <w:t xml:space="preserve">  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működési célú kiadásokat</w:t>
        <w:tab/>
        <w:tab/>
        <w:tab/>
        <w:tab/>
        <w:tab/>
        <w:tab/>
        <w:tab/>
        <w:t>47.890.325 Ft-ban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ebből: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személyi juttatások kiadásait</w:t>
        <w:tab/>
        <w:tab/>
        <w:tab/>
        <w:t xml:space="preserve">         </w:t>
        <w:tab/>
        <w:t>11.000.142 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munkaadót terhelő járulékokat </w:t>
        <w:tab/>
        <w:tab/>
        <w:tab/>
        <w:tab/>
        <w:t>1.348.199 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dologi kiadásokat</w:t>
        <w:tab/>
        <w:tab/>
        <w:tab/>
        <w:tab/>
        <w:tab/>
      </w:r>
      <w:r>
        <w:rPr>
          <w:rFonts w:ascii="Times New Roman" w:hAnsi="Times New Roman"/>
          <w:bCs/>
          <w:sz w:val="24"/>
          <w:szCs w:val="24"/>
        </w:rPr>
        <w:t xml:space="preserve">6.044.601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az ellátottak pénzbeli juttatásait</w:t>
        <w:tab/>
        <w:tab/>
        <w:tab/>
        <w:tab/>
      </w:r>
      <w:r>
        <w:rPr>
          <w:rFonts w:ascii="Times New Roman" w:hAnsi="Times New Roman"/>
          <w:bCs/>
          <w:sz w:val="24"/>
          <w:szCs w:val="24"/>
        </w:rPr>
        <w:t xml:space="preserve">11.424.299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egyéb működési célú kiadásokat</w:t>
        <w:tab/>
        <w:tab/>
        <w:tab/>
        <w:tab/>
        <w:t>16.781.311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Áht.-n belüli megelőlegezések kiadásai</w:t>
        <w:tab/>
        <w:tab/>
        <w:t xml:space="preserve">           </w:t>
        <w:tab/>
        <w:t>1.291.773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0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felhalmozás célú kiadásokat</w:t>
        <w:tab/>
        <w:tab/>
        <w:tab/>
        <w:tab/>
        <w:t xml:space="preserve">           22.560.280 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állapítja meg.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bevételi és kiadási főösszegének mérlegszerű bemutatását az </w:t>
      </w:r>
      <w:r>
        <w:rPr>
          <w:rFonts w:cs="Times New Roman" w:ascii="Times New Roman" w:hAnsi="Times New Roman"/>
          <w:b/>
          <w:bCs/>
          <w:sz w:val="24"/>
          <w:szCs w:val="24"/>
        </w:rPr>
        <w:t>1.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bevételeit részletes bontásban kötelező és önként vállalt államigazgatási feladatok szerinti részletezésben a </w:t>
      </w:r>
      <w:r>
        <w:rPr>
          <w:rFonts w:cs="Times New Roman" w:ascii="Times New Roman" w:hAnsi="Times New Roman"/>
          <w:b/>
          <w:bCs/>
          <w:sz w:val="24"/>
          <w:szCs w:val="24"/>
        </w:rPr>
        <w:t>2. sz. melléklet</w:t>
      </w:r>
      <w:r>
        <w:rPr>
          <w:rFonts w:cs="Times New Roman" w:ascii="Times New Roman" w:hAnsi="Times New Roman"/>
          <w:sz w:val="24"/>
          <w:szCs w:val="24"/>
        </w:rPr>
        <w:t xml:space="preserve">, kormányzati funkciók szerinti bontásban a </w:t>
      </w:r>
      <w:r>
        <w:rPr>
          <w:rFonts w:cs="Times New Roman" w:ascii="Times New Roman" w:hAnsi="Times New Roman"/>
          <w:b/>
          <w:bCs/>
          <w:sz w:val="24"/>
          <w:szCs w:val="24"/>
        </w:rPr>
        <w:t>4 sz.</w:t>
      </w:r>
      <w:r>
        <w:rPr>
          <w:rFonts w:cs="Times New Roman" w:ascii="Times New Roman" w:hAnsi="Times New Roman"/>
          <w:sz w:val="24"/>
          <w:szCs w:val="24"/>
        </w:rPr>
        <w:t xml:space="preserve"> melléklet 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kiadásait elkülönítetten, jogcímenkénti bontásban kötelező, önként vállalt és államigazgatási feladatok szerinti részletezésben a </w:t>
      </w:r>
      <w:r>
        <w:rPr>
          <w:rFonts w:cs="Times New Roman" w:ascii="Times New Roman" w:hAnsi="Times New Roman"/>
          <w:b/>
          <w:bCs/>
          <w:sz w:val="24"/>
          <w:szCs w:val="24"/>
        </w:rPr>
        <w:t>3. sz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>melléklet</w:t>
      </w:r>
      <w:r>
        <w:rPr>
          <w:rFonts w:cs="Times New Roman" w:ascii="Times New Roman" w:hAnsi="Times New Roman"/>
          <w:sz w:val="24"/>
          <w:szCs w:val="24"/>
        </w:rPr>
        <w:t>, kormányzati funkciók szerint bontásban 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5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6. sz. melléklet </w:t>
      </w:r>
      <w:r>
        <w:rPr>
          <w:rFonts w:cs="Times New Roman" w:ascii="Times New Roman" w:hAnsi="Times New Roman"/>
          <w:sz w:val="24"/>
          <w:szCs w:val="24"/>
        </w:rPr>
        <w:t>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költségvetési tartaléka </w:t>
      </w:r>
      <w:r>
        <w:rPr>
          <w:rFonts w:cs="Times New Roman" w:ascii="Times New Roman" w:hAnsi="Times New Roman"/>
          <w:b/>
          <w:sz w:val="24"/>
          <w:szCs w:val="24"/>
        </w:rPr>
        <w:t>13.943.170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Ft.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költségvetési szervének létszámkeretét a </w:t>
      </w:r>
      <w:r>
        <w:rPr>
          <w:rFonts w:cs="Times New Roman" w:ascii="Times New Roman" w:hAnsi="Times New Roman"/>
          <w:b/>
          <w:bCs/>
          <w:sz w:val="24"/>
          <w:szCs w:val="24"/>
        </w:rPr>
        <w:t>7.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adósságot keletkeztető ügyletekből és kezességvállalásokból származó kötelezettségeit és a Magyarország gazdasági stabilitásáról szóló 2011. évi CXCIV. törvény szerinti saját bevételeit a </w:t>
      </w:r>
      <w:r>
        <w:rPr>
          <w:rFonts w:cs="Times New Roman" w:ascii="Times New Roman" w:hAnsi="Times New Roman"/>
          <w:b/>
          <w:bCs/>
          <w:sz w:val="24"/>
          <w:szCs w:val="24"/>
        </w:rPr>
        <w:t>10.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 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bevételi többlet kezelése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gazdálkodási év során keletkezett bevételi többlet felhasználásáról a képviselő-testület annak teljesülését követően esetenként dönt.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Hivatal a jóváhagyott bevételi előirányzatain felüli többletbevételét az irányító szerv egyidejű tájékoztatásával, a tényleges többletnek megfelelő összegű, saját hatáskörű előirányzat-módosítás után használja fel.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Általános és céltartalék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Hedrehely Község Polgármestere az önkormányzat </w:t>
      </w:r>
      <w:r>
        <w:rPr>
          <w:rFonts w:cs="Times New Roman" w:ascii="Times New Roman" w:hAnsi="Times New Roman"/>
          <w:b/>
          <w:bCs/>
          <w:sz w:val="24"/>
          <w:szCs w:val="24"/>
        </w:rPr>
        <w:t>általános tartalékát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1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.000.000 Ft </w:t>
      </w:r>
      <w:r>
        <w:rPr>
          <w:rFonts w:cs="Times New Roman" w:ascii="Times New Roman" w:hAnsi="Times New Roman"/>
          <w:sz w:val="24"/>
          <w:szCs w:val="24"/>
        </w:rPr>
        <w:t>összegben,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céltartalékát 12.943.170 Ft </w:t>
      </w:r>
      <w:r>
        <w:rPr>
          <w:rFonts w:cs="Times New Roman" w:ascii="Times New Roman" w:hAnsi="Times New Roman"/>
          <w:sz w:val="24"/>
          <w:szCs w:val="24"/>
        </w:rPr>
        <w:t>összegben állapítja meg. A céltartalék kizárólag előre nem látható esetekben – belvízmentesítés, viharkár elhárítás stb. – használható fel. A céltartalék felhasználásáról - a képviselő-testület előtti utólagos beszámolási kötelezettséggel – a polgármester dönt.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általános tartalék felhasználásáról a képviselő-testület az erre vonatkozó igény felmerülésekor dönt.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Többéves kihatással járó döntések, európai uniós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programok, projektek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Hedrehely Község Polgármestere többéves kihatással járó feladatról, ill. európai uniós forrásból megvalósuló programok, projektek tárgyában nem döntött.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Előirányzat- felhasználási ütemterv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költségvetés bevételi és kiadási előirányzatainak felhasználási ütemtervét havi bontásban 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8. sz. melléklet </w:t>
      </w:r>
      <w:r>
        <w:rPr>
          <w:rFonts w:cs="Times New Roman" w:ascii="Times New Roman" w:hAnsi="Times New Roman"/>
          <w:sz w:val="24"/>
          <w:szCs w:val="24"/>
        </w:rPr>
        <w:t xml:space="preserve">tartalmazza.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Támogatások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által adott közvetlen támogatásokat tartalmazó kimutatást e rendelet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9. sz. melléklete </w:t>
      </w:r>
      <w:r>
        <w:rPr>
          <w:rFonts w:cs="Times New Roman" w:ascii="Times New Roman" w:hAnsi="Times New Roman"/>
          <w:sz w:val="24"/>
          <w:szCs w:val="24"/>
        </w:rPr>
        <w:t xml:space="preserve">tartalmazza. </w:t>
      </w:r>
    </w:p>
    <w:p>
      <w:pPr>
        <w:pStyle w:val="NoSpacing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III. fejezet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végrehajtásának szabályai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Indent2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A képviselő-testület és szervei szervezeti és működési szabályzatáról szóló önkormányzati rendelet mellékletében átruházott hatáskörökön túl a jóváhagyott kiadási, bevételi és létszám-előirányzatok közötti és a céltartalék terhére történő átcsoportosítás jogát nem ruházza át, azt magának fenntartja.</w:t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BodyTextInden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(2)Az átruházott hatáskörben hozott döntések a későbbi években a képviselő-testület által jóváhagyottnál nagyobb többletkiadással nem járhatnak.</w:t>
      </w:r>
    </w:p>
    <w:p>
      <w:pPr>
        <w:pStyle w:val="BodyTextIndent2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Inden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>
      <w:pPr>
        <w:pStyle w:val="BodyTextInden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Inden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Az általános tartalék előirányzaton belül a költségvetési évet tekintve összesen </w:t>
      </w:r>
      <w:r>
        <w:rPr>
          <w:rFonts w:ascii="Times New Roman" w:hAnsi="Times New Roman"/>
          <w:sz w:val="24"/>
          <w:szCs w:val="24"/>
        </w:rPr>
        <w:t>700.000</w:t>
      </w:r>
      <w:r>
        <w:rPr>
          <w:rFonts w:ascii="Times New Roman" w:hAnsi="Times New Roman"/>
          <w:b/>
          <w:bCs/>
          <w:sz w:val="24"/>
          <w:szCs w:val="24"/>
        </w:rPr>
        <w:t xml:space="preserve"> Ft </w:t>
      </w:r>
      <w:r>
        <w:rPr>
          <w:rFonts w:ascii="Times New Roman" w:hAnsi="Times New Roman"/>
          <w:sz w:val="24"/>
          <w:szCs w:val="24"/>
        </w:rPr>
        <w:t>felhasználását a képviselő-testület – a teljesülést követően negyedévenkénti beszámolási kötelezettséggel – a polgármester hatáskörébe utalja.</w:t>
      </w:r>
    </w:p>
    <w:p>
      <w:pPr>
        <w:pStyle w:val="Normal"/>
        <w:ind w:left="36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§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Indent2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A Hivatal éves költségvetésének végrehajtásáért, a gazdálkodás jogszerűségéért, a takarékosság érvényesítéséért, a bevételek növeléséért az alapfeladatok sérelme nélkül a jegyző a felelős.</w:t>
      </w:r>
    </w:p>
    <w:p>
      <w:pPr>
        <w:pStyle w:val="Normal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 Hivatal éves költségvetését a megállapított önkormányzati támogatás és saját bevételei terhére úgy köteles megtervezni, hogy abból biztosított legyen az éves gazdálkodás, illetve kötelezően ellátandó feladatait maradéktalanul teljesíteni tudja. </w:t>
      </w:r>
    </w:p>
    <w:p>
      <w:pPr>
        <w:pStyle w:val="Normal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§.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Indent3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Az év közben engedélyezett központi pótelőirányzatok felosztásáról - ha az érdemi döntést igényel - a testület dönt a polgármester előterjesztésére, szükség esetén a költségvetési rendelet egyidejű módosításával.</w:t>
      </w:r>
    </w:p>
    <w:p>
      <w:pPr>
        <w:pStyle w:val="Normal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Indent2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Indent2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Az (1) bekezdésben nem szereplő központi pótelőirányzatok felosztásáról és a Hivatal saját hatáskörben kezdeményezett rendelet módosításáról a képviselő testület az (1) bekezdésben foglalt módon dönt.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költségvetési szerv előirányzat-módosításának szabályai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§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Az önkormányzat és a költségvetési szerv bevételi és kiadási előirányzatai év közben megváltoztathatók az előirányzat módosításával. Az előirányzatok megváltoztatása e költségvetési rendeletben meghatározottak szerint történik. </w:t>
      </w:r>
    </w:p>
    <w:p>
      <w:pPr>
        <w:pStyle w:val="Normal"/>
        <w:tabs>
          <w:tab w:val="clear" w:pos="708"/>
          <w:tab w:val="left" w:pos="360" w:leader="none"/>
          <w:tab w:val="decimal" w:pos="2981" w:leader="none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 költségvetési szerv saját hatáskörű előirányzat módosítást csak abban az esetben hajthat végre, ha a személyi juttatások és/vagy a munkaadót terhelő járulék előirányzatból dologi kiadásokra csoportosít át. Az átcsoportosítást a képviselő-testület rendelet-módosításban hagyja jóvá. </w:t>
      </w:r>
    </w:p>
    <w:p>
      <w:pPr>
        <w:pStyle w:val="Normal"/>
        <w:tabs>
          <w:tab w:val="clear" w:pos="708"/>
          <w:tab w:val="left" w:pos="170" w:leader="none"/>
          <w:tab w:val="left" w:pos="360" w:leader="none"/>
          <w:tab w:val="left" w:pos="426" w:leader="none"/>
          <w:tab w:val="decimal" w:pos="2981" w:leader="none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A költségvetési szervek a jóváhagyott bevételi előirányzataikon felüli többletbevételeiket a költségvetési rendeletbe történő átvezetése, annak módosítása után használhatják fel.  </w:t>
      </w:r>
    </w:p>
    <w:p>
      <w:pPr>
        <w:pStyle w:val="Normal"/>
        <w:tabs>
          <w:tab w:val="clear" w:pos="708"/>
          <w:tab w:val="decimal" w:pos="283" w:leader="none"/>
          <w:tab w:val="left" w:pos="360" w:leader="none"/>
          <w:tab w:val="left" w:pos="426" w:leader="none"/>
          <w:tab w:val="decimal" w:pos="2981" w:leader="none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zvegtrzsbehzsa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 jóváhagyott kiemelt előirányzatokon belül az átcsoportosításról a költségvetési szerv vezetője saját hatáskörben dönt.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A költségvetési szerv a saját hatáskörű előirányzat módosításokról az irányító szervét félévenként tájékoztatja.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 Az Államháztartásról szóló 2011. évi CXCV. törvény 34 § (2) bekezdése alapján a képviselő-testület felhatalmazza a polgármestert feladatonként nettó 15 millió forint értékhatárig az önkormányzat bevételeinek és kiadásainak módosítására, és a kiadási előirányzatok közötti átcsoportosításra. A módosítást a költségvetési rendelet módosítása során át kell vezetni.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(7) Év közben az önkormányzat számára meghatározott kötött felhasználású pótelőirányzat felhasználásáról a polgármester dönt. Az előirányzat módosítást a költségvetési rendelet módosításakor át kell vezetni.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Létszám- és bérgazdálkodással kapcsolatos előírások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 §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FF00FF"/>
          <w:sz w:val="24"/>
          <w:szCs w:val="24"/>
        </w:rPr>
      </w:pPr>
      <w:r>
        <w:rPr>
          <w:rFonts w:ascii="Times New Roman" w:hAnsi="Times New Roman"/>
          <w:b/>
          <w:bCs/>
          <w:color w:val="FF00FF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A polgármester önálló létszám- és bérgazdálkodási jogkörében eljárva az engedélyezett létszám (álláshely)-keretet a tényleges foglalkoztatás során köteles betartani.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Támogatási szerződés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§.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Az </w:t>
      </w:r>
      <w:r>
        <w:rPr>
          <w:rFonts w:ascii="Times New Roman" w:hAnsi="Times New Roman"/>
          <w:b/>
          <w:bCs/>
          <w:sz w:val="24"/>
          <w:szCs w:val="24"/>
        </w:rPr>
        <w:t>1.000.000</w:t>
      </w:r>
      <w:r>
        <w:rPr>
          <w:rFonts w:ascii="Times New Roman" w:hAnsi="Times New Roman"/>
          <w:sz w:val="24"/>
          <w:szCs w:val="24"/>
        </w:rPr>
        <w:t xml:space="preserve"> Ft-ot meghaladó összegű támogatások átadása előtt a támogatás címzettjével megállapodást kell kötni.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 képviselő-testület a megállapodás megkötése előtt ellenőrzi a helyi önkormányzat költségvetéséből céljelleggel juttatott támogatások felhasználását, elszámolását.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Az elszámolási kötelezettséget nem teljesítő, illetve a támogatást nem célirányosan felhasználó szervezetek, személyek részére újabb támogatás egy évig nem ítélhető meg.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 §.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önállóan működő és gazdálkodó költségvetési szerv költségvetési támogatását a képviselő-testület a költségvetési szervek pénzellátási rendje szerint biztosítja.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szervezetek részére nyújtott támogatások évi két egyenlő részletekben kerüljenek kiutalásra.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Szolgáltatási szerződés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 §.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Hivatal szakmai alapfeladat keretében szellemi tevékenység szolgáltatási szerződéssel, számla ellenében történő igénybevételének szabályai: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Az önkormányzat által felügyelt költségvetési szervnél, szakmai alapfeladat keretében szellemi tevékenység végzésére szolgáltatási szerződéssel, számla ellenében külső személy vagy szervezet az e §-ban meghatározott feltételekkel vehető igénybe.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 szolgáltatási szerződést írásban kell megkötni.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A szerződéskötés feltétele, hogy</w:t>
      </w:r>
    </w:p>
    <w:p>
      <w:pPr>
        <w:pStyle w:val="Normal"/>
        <w:ind w:left="709" w:hanging="3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709" w:hanging="3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a.) a költségvetési szerv az adott feladat ellátáshoz megfelelő szakértelemmel rendelkező személyt nem foglalkoztat, vagy</w:t>
      </w:r>
    </w:p>
    <w:p>
      <w:pPr>
        <w:pStyle w:val="Normal"/>
        <w:ind w:left="709" w:hanging="3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b.) eseti, nem rendszeres jellegű feladat ellátása szükséges és a költségvetési szerven belül a feladat ellátásához megfelelő szakértelemmel rendelkező személy átmenetileg nem áll rendelkezésre.</w:t>
      </w:r>
    </w:p>
    <w:p>
      <w:pPr>
        <w:pStyle w:val="Normal"/>
        <w:ind w:left="709" w:hanging="3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Jogszabályban vagy a költségvetési szerv szervezeti és működési szabályzatában meghatározott vezetői feladat ellátására szolgáltatási szerződés nem köthető.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 feladat ellátásának – a fenntartóval egyeztetett - részletes feltételeit, az ellátható feladatokat a költségvetési szerv szervezeti és működési szabályzatban határozza meg.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A szerződésnek tartalmaznia kell különösen:</w:t>
      </w:r>
    </w:p>
    <w:p>
      <w:pPr>
        <w:pStyle w:val="Normal"/>
        <w:ind w:left="37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37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a.) az ellátandó feladatot,</w:t>
      </w:r>
    </w:p>
    <w:p>
      <w:pPr>
        <w:pStyle w:val="Normal"/>
        <w:ind w:left="37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b.) a díjazás mértékét,</w:t>
      </w:r>
    </w:p>
    <w:p>
      <w:pPr>
        <w:pStyle w:val="Normal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c.) részletes utalást arra, hogy a (3) bekezdésben írt feltétel mely körülményre tekintettel áll fenn,</w:t>
      </w:r>
    </w:p>
    <w:p>
      <w:pPr>
        <w:pStyle w:val="Normal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d.) a szerződés időtartamát,</w:t>
      </w:r>
    </w:p>
    <w:p>
      <w:pPr>
        <w:pStyle w:val="Normal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e.) szervezettel kötendő szerződés esetén azt, hogy a szervezet részéről személy szerint ki(k) köteles(ek) a feladat ellátására, valamint,</w:t>
      </w:r>
    </w:p>
    <w:p>
      <w:pPr>
        <w:pStyle w:val="Normal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f.) a teljesítés igazolására felhatalmazott személy megnevezését.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Önkormányzati biztos kirendelése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 §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>
        <w:rPr>
          <w:rFonts w:ascii="Times New Roman" w:hAnsi="Times New Roman"/>
          <w:color w:val="000000"/>
          <w:sz w:val="24"/>
          <w:szCs w:val="24"/>
        </w:rPr>
        <w:t>a képviselő-testület</w:t>
      </w:r>
      <w:r>
        <w:rPr>
          <w:rFonts w:ascii="Times New Roman" w:hAnsi="Times New Roman"/>
          <w:sz w:val="24"/>
          <w:szCs w:val="24"/>
        </w:rPr>
        <w:t xml:space="preserve"> a költségvetési szervnél </w:t>
      </w:r>
      <w:r>
        <w:rPr>
          <w:rFonts w:ascii="Times New Roman" w:hAnsi="Times New Roman"/>
          <w:color w:val="000000"/>
          <w:sz w:val="24"/>
          <w:szCs w:val="24"/>
        </w:rPr>
        <w:t>az Áht. 71. §. (2) és (3) bekezdésében</w:t>
      </w:r>
      <w:r>
        <w:rPr>
          <w:rFonts w:ascii="Times New Roman" w:hAnsi="Times New Roman"/>
          <w:sz w:val="24"/>
          <w:szCs w:val="24"/>
        </w:rPr>
        <w:t xml:space="preserve"> foglalt hatáskörrel rendelkező önkormányzati biztost jelöl ki. </w:t>
      </w:r>
    </w:p>
    <w:p>
      <w:pPr>
        <w:pStyle w:val="Normal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Az önkormányzati biztos kirendelését az (1) bekezdésben meghatározott mértékű elismert tartozásállomány elérése esetén a képviselő-testületnél a polgármester kezdeményezi.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Ha a polgármester a kötelezettségének nem tesz eleget, a biztos kirendelését indítványozhatja</w:t>
      </w:r>
    </w:p>
    <w:p>
      <w:pPr>
        <w:pStyle w:val="Normal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a helyi önkormányzat jegyzője a polgármesteren keresztül,</w:t>
      </w:r>
    </w:p>
    <w:p>
      <w:pPr>
        <w:pStyle w:val="Normal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a helyi önkormányzat képviselő-testülete által megbízott könyvvizsgáló,</w:t>
      </w:r>
    </w:p>
    <w:p>
      <w:pPr>
        <w:pStyle w:val="Normal"/>
        <w:ind w:firstLine="2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>a költségvetési szerv vezetője.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Amennyiben az önkormányzatnál időközben adósságrendezési eljárást kezdeményeztek az általa fenntartott költségvetési szervek körében, az önkormányzati biztos további tevékenységére az alábbi szabályok alkalmazandók:</w:t>
      </w:r>
    </w:p>
    <w:p>
      <w:pPr>
        <w:pStyle w:val="Szvegtrzsbehzsa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a.) az önkormányzati biztos tevékenységéről a képviselő-testületnek havonta köteles beszámolni,</w:t>
      </w:r>
    </w:p>
    <w:p>
      <w:pPr>
        <w:pStyle w:val="Szvegtrzsbehzsa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b.) az önkormányzati biztos haladéktalanul köteles tájékoztatni a polgármestert, ha a költségvetési szervvel szemben adósságrendezési eljárást kezdeményeztek.  </w:t>
      </w:r>
    </w:p>
    <w:p>
      <w:pPr>
        <w:pStyle w:val="Szvegtrzsbehzsa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Pótköltségvetés, költségvetés módosítása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19. §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A költségvetés várható egyenlegének a költségvetés kiadási főösszegének 10 %-át meghaladó mértékű eltérése esetén a költségvetési rendeletet módosítani kell.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 költségvetés várható egyenlegének a költségvetés kiadási főösszegének 30 %-át meghaladó mértékű eltérése esetén pótköltségvetési rendeletet kell elfogadni. A pótköltségvetési rendeletnek újból meg kell állapítania a költségvetési rendeletnek az előirányzatok meghatározására vonatkozó rendelkezéseit.</w:t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Záró és egyéb rendelkezések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20. §.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Ez a rendelet a kihirdetését követő napon lép hatályba.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3"/>
        <w:tabs>
          <w:tab w:val="clear" w:pos="226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Hedrehely, 2021. március 12.</w:t>
      </w:r>
    </w:p>
    <w:p>
      <w:pPr>
        <w:pStyle w:val="BodyText3"/>
        <w:tabs>
          <w:tab w:val="clear" w:pos="226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3"/>
        <w:tabs>
          <w:tab w:val="clear" w:pos="226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3"/>
        <w:tabs>
          <w:tab w:val="clear" w:pos="226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3"/>
        <w:tabs>
          <w:tab w:val="clear" w:pos="226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Bőhm Kinga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</w:t>
        <w:tab/>
        <w:t xml:space="preserve">Dr.Barka Tamás </w:t>
      </w:r>
    </w:p>
    <w:p>
      <w:pPr>
        <w:pStyle w:val="BodyText3"/>
        <w:tabs>
          <w:tab w:val="clear" w:pos="226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polgármester</w:t>
        <w:tab/>
        <w:t xml:space="preserve">                                                        </w:t>
        <w:tab/>
        <w:tab/>
        <w:t xml:space="preserve">    </w:t>
        <w:tab/>
        <w:t xml:space="preserve">         jegyző</w:t>
        <w:tab/>
      </w:r>
    </w:p>
    <w:p>
      <w:pPr>
        <w:pStyle w:val="BodyText3"/>
        <w:tabs>
          <w:tab w:val="clear" w:pos="2268"/>
        </w:tabs>
        <w:ind w:left="1418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3"/>
        <w:tabs>
          <w:tab w:val="clear" w:pos="226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3"/>
        <w:tabs>
          <w:tab w:val="clear" w:pos="226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3"/>
        <w:tabs>
          <w:tab w:val="clear" w:pos="226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Kihirdetési záradék: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rendelet kihirdetve: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2021. március 12.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Dr. Barka Tamás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jegyző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7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54e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zvegtrzsbehzssalChar" w:customStyle="1">
    <w:name w:val="Szövegtörzs behúzással Char"/>
    <w:link w:val="Szvegtrzsbehzssal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behzssal2Char" w:customStyle="1">
    <w:name w:val="Szövegtörzs behúzással 2 Char"/>
    <w:link w:val="Szvegtrzsbehzssal2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behzssal3Char" w:customStyle="1">
    <w:name w:val="Szövegtörzs behúzással 3 Char"/>
    <w:link w:val="Szvegtrzsbehzssal3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3Char" w:customStyle="1">
    <w:name w:val="Szövegtörzs 3 Char"/>
    <w:link w:val="Szvegtrzs3"/>
    <w:uiPriority w:val="99"/>
    <w:qFormat/>
    <w:locked/>
    <w:rsid w:val="004f54ef"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styleId="BuborkszvegChar" w:customStyle="1">
    <w:name w:val="Buborékszöveg Char"/>
    <w:link w:val="Buborkszveg"/>
    <w:uiPriority w:val="99"/>
    <w:semiHidden/>
    <w:qFormat/>
    <w:locked/>
    <w:rsid w:val="004f54ef"/>
    <w:rPr>
      <w:rFonts w:ascii="Tahoma" w:hAnsi="Tahoma" w:cs="Tahoma"/>
      <w:sz w:val="16"/>
      <w:szCs w:val="16"/>
      <w:lang w:eastAsia="hu-HU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cf10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hu-HU" w:eastAsia="en-US" w:bidi="ar-SA"/>
    </w:rPr>
  </w:style>
  <w:style w:type="paragraph" w:styleId="Szvegtrzsbehzsa">
    <w:name w:val="Body Text Indent"/>
    <w:basedOn w:val="Normal"/>
    <w:link w:val="SzvegtrzsbehzssalChar"/>
    <w:uiPriority w:val="99"/>
    <w:rsid w:val="004f54ef"/>
    <w:pPr>
      <w:ind w:left="709" w:hanging="567"/>
      <w:jc w:val="both"/>
    </w:pPr>
    <w:rPr>
      <w:rFonts w:eastAsia="Calibri"/>
    </w:rPr>
  </w:style>
  <w:style w:type="paragraph" w:styleId="BodyTextIndent2">
    <w:name w:val="Body Text Indent 2"/>
    <w:basedOn w:val="Normal"/>
    <w:link w:val="Szvegtrzsbehzssal2Char"/>
    <w:uiPriority w:val="99"/>
    <w:qFormat/>
    <w:rsid w:val="004f54ef"/>
    <w:pPr>
      <w:ind w:left="426" w:hanging="426"/>
      <w:jc w:val="both"/>
    </w:pPr>
    <w:rPr>
      <w:rFonts w:eastAsia="Calibri"/>
    </w:rPr>
  </w:style>
  <w:style w:type="paragraph" w:styleId="BodyTextIndent3">
    <w:name w:val="Body Text Indent 3"/>
    <w:basedOn w:val="Normal"/>
    <w:link w:val="Szvegtrzsbehzssal3Char"/>
    <w:uiPriority w:val="99"/>
    <w:qFormat/>
    <w:rsid w:val="004f54ef"/>
    <w:pPr>
      <w:ind w:left="142" w:hanging="142"/>
      <w:jc w:val="both"/>
    </w:pPr>
    <w:rPr>
      <w:rFonts w:eastAsia="Calibri"/>
    </w:rPr>
  </w:style>
  <w:style w:type="paragraph" w:styleId="BodyText3">
    <w:name w:val="Body Text 3"/>
    <w:basedOn w:val="Normal"/>
    <w:link w:val="Szvegtrzs3Char"/>
    <w:uiPriority w:val="99"/>
    <w:qFormat/>
    <w:rsid w:val="004f54ef"/>
    <w:pPr>
      <w:tabs>
        <w:tab w:val="clear" w:pos="708"/>
        <w:tab w:val="left" w:pos="2268" w:leader="none"/>
      </w:tabs>
      <w:jc w:val="both"/>
    </w:pPr>
    <w:rPr>
      <w:rFonts w:eastAsia="Calibri"/>
      <w:b/>
      <w:bCs/>
    </w:rPr>
  </w:style>
  <w:style w:type="paragraph" w:styleId="ListParagraph">
    <w:name w:val="List Paragraph"/>
    <w:basedOn w:val="Normal"/>
    <w:uiPriority w:val="99"/>
    <w:qFormat/>
    <w:rsid w:val="004f54ef"/>
    <w:pPr>
      <w:ind w:left="720" w:hanging="0"/>
    </w:pPr>
    <w:rPr/>
  </w:style>
  <w:style w:type="paragraph" w:styleId="BalloonText">
    <w:name w:val="Balloon Text"/>
    <w:basedOn w:val="Normal"/>
    <w:link w:val="BuborkszvegChar"/>
    <w:uiPriority w:val="99"/>
    <w:semiHidden/>
    <w:qFormat/>
    <w:rsid w:val="004f54ef"/>
    <w:pPr/>
    <w:rPr>
      <w:rFonts w:ascii="Tahoma" w:hAnsi="Tahoma" w:eastAsia="Calibri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5D6A7-3451-45A5-833D-C70567A6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LibreOffice/7.0.3.1$Windows_X86_64 LibreOffice_project/d7547858d014d4cf69878db179d326fc3483e082</Application>
  <Pages>9</Pages>
  <Words>1650</Words>
  <Characters>12049</Characters>
  <CharactersWithSpaces>13785</CharactersWithSpaces>
  <Paragraphs>144</Paragraphs>
  <Company>Csokonyavisonta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2021-03-11T07:15:00Z</dcterms:created>
  <dc:creator>Körjegyzőség</dc:creator>
  <dc:description/>
  <dc:language>hu-HU</dc:language>
  <cp:lastModifiedBy/>
  <cp:lastPrinted>2016-03-07T10:46:00Z</cp:lastPrinted>
  <dcterms:modified xsi:type="dcterms:W3CDTF">2021-03-24T11:20:01Z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Csokonyavisonta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