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3E" w:rsidRPr="0031343E" w:rsidRDefault="0031343E" w:rsidP="0031343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ahoma"/>
          <w:iCs/>
          <w:sz w:val="28"/>
          <w:szCs w:val="28"/>
          <w:lang w:eastAsia="hu-HU"/>
        </w:rPr>
      </w:pPr>
      <w:r w:rsidRPr="0031343E">
        <w:rPr>
          <w:rFonts w:ascii="Garamond" w:eastAsia="Times New Roman" w:hAnsi="Garamond" w:cs="Tahoma"/>
          <w:iCs/>
          <w:sz w:val="28"/>
          <w:szCs w:val="28"/>
          <w:lang w:eastAsia="hu-HU"/>
        </w:rPr>
        <w:t xml:space="preserve">melléklet hulladékkezelési közszolgáltatásról szóló 1/2014. (I.30.) önkormányzati </w:t>
      </w:r>
      <w:proofErr w:type="gramStart"/>
      <w:r w:rsidRPr="0031343E">
        <w:rPr>
          <w:rFonts w:ascii="Garamond" w:eastAsia="Times New Roman" w:hAnsi="Garamond" w:cs="Tahoma"/>
          <w:iCs/>
          <w:sz w:val="28"/>
          <w:szCs w:val="28"/>
          <w:lang w:eastAsia="hu-HU"/>
        </w:rPr>
        <w:t>rendelethez</w:t>
      </w:r>
      <w:r w:rsidRPr="0031343E">
        <w:rPr>
          <w:rFonts w:ascii="Garamond" w:eastAsia="Times New Roman" w:hAnsi="Garamond" w:cs="Tahoma"/>
          <w:iCs/>
          <w:sz w:val="28"/>
          <w:szCs w:val="28"/>
          <w:vertAlign w:val="superscript"/>
          <w:lang w:eastAsia="hu-HU"/>
        </w:rPr>
        <w:footnoteReference w:id="1"/>
      </w:r>
      <w:r w:rsidRPr="0031343E">
        <w:rPr>
          <w:rFonts w:ascii="Garamond" w:eastAsia="Times New Roman" w:hAnsi="Garamond" w:cs="Tahoma"/>
          <w:iCs/>
          <w:sz w:val="28"/>
          <w:szCs w:val="28"/>
          <w:lang w:eastAsia="hu-HU"/>
        </w:rPr>
        <w:t>,</w:t>
      </w:r>
      <w:proofErr w:type="gramEnd"/>
      <w:r w:rsidRPr="0031343E">
        <w:rPr>
          <w:rFonts w:ascii="Garamond" w:eastAsia="Times New Roman" w:hAnsi="Garamond" w:cs="Tahoma"/>
          <w:iCs/>
          <w:sz w:val="28"/>
          <w:szCs w:val="28"/>
          <w:lang w:eastAsia="hu-HU"/>
        </w:rPr>
        <w:t xml:space="preserve"> </w:t>
      </w:r>
      <w:r w:rsidRPr="0031343E">
        <w:rPr>
          <w:rFonts w:ascii="Garamond" w:eastAsia="Times New Roman" w:hAnsi="Garamond" w:cs="Tahoma"/>
          <w:iCs/>
          <w:sz w:val="28"/>
          <w:szCs w:val="28"/>
          <w:vertAlign w:val="superscript"/>
          <w:lang w:eastAsia="hu-HU"/>
        </w:rPr>
        <w:footnoteReference w:id="2"/>
      </w:r>
    </w:p>
    <w:p w:rsidR="0031343E" w:rsidRPr="0031343E" w:rsidRDefault="0031343E" w:rsidP="0031343E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ahoma"/>
          <w:iCs/>
          <w:sz w:val="28"/>
          <w:szCs w:val="28"/>
          <w:lang w:eastAsia="hu-HU"/>
        </w:rPr>
      </w:pPr>
    </w:p>
    <w:p w:rsidR="0031343E" w:rsidRPr="0031343E" w:rsidRDefault="0031343E" w:rsidP="0031343E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ahoma"/>
          <w:iCs/>
          <w:sz w:val="28"/>
          <w:szCs w:val="28"/>
          <w:lang w:eastAsia="hu-HU"/>
        </w:rPr>
      </w:pPr>
    </w:p>
    <w:p w:rsidR="0031343E" w:rsidRPr="0031343E" w:rsidRDefault="0031343E" w:rsidP="0031343E">
      <w:pPr>
        <w:keepNext/>
        <w:spacing w:after="0" w:line="240" w:lineRule="auto"/>
        <w:ind w:left="2136" w:firstLine="696"/>
        <w:rPr>
          <w:rFonts w:ascii="Tahoma" w:eastAsia="Calibri" w:hAnsi="Tahoma" w:cs="Tahoma"/>
          <w:b/>
          <w:bCs/>
          <w:color w:val="000080"/>
          <w:lang w:eastAsia="hu-HU"/>
        </w:rPr>
      </w:pPr>
      <w:r w:rsidRPr="0031343E">
        <w:rPr>
          <w:rFonts w:ascii="Tahoma" w:eastAsia="Calibri" w:hAnsi="Tahoma" w:cs="Tahoma"/>
          <w:b/>
          <w:bCs/>
          <w:color w:val="000080"/>
          <w:lang w:eastAsia="hu-HU"/>
        </w:rPr>
        <w:t>Elkülönítetten gyűjtött települési hulladék</w:t>
      </w:r>
    </w:p>
    <w:p w:rsidR="0031343E" w:rsidRPr="0031343E" w:rsidRDefault="0031343E" w:rsidP="0031343E">
      <w:pPr>
        <w:spacing w:after="0" w:line="240" w:lineRule="auto"/>
        <w:jc w:val="both"/>
        <w:rPr>
          <w:rFonts w:ascii="Tahoma" w:eastAsia="Calibri" w:hAnsi="Tahoma" w:cs="Tahoma"/>
          <w:bCs/>
          <w:color w:val="000080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7"/>
        <w:gridCol w:w="2992"/>
        <w:gridCol w:w="2786"/>
      </w:tblGrid>
      <w:tr w:rsidR="0031343E" w:rsidRPr="0031343E" w:rsidTr="00EA59C8">
        <w:trPr>
          <w:trHeight w:val="630"/>
          <w:jc w:val="center"/>
        </w:trPr>
        <w:tc>
          <w:tcPr>
            <w:tcW w:w="426" w:type="dxa"/>
            <w:tcBorders>
              <w:bottom w:val="double" w:sz="4" w:space="0" w:color="auto"/>
            </w:tcBorders>
          </w:tcPr>
          <w:p w:rsidR="0031343E" w:rsidRPr="0031343E" w:rsidRDefault="0031343E" w:rsidP="0031343E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noWrap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Gyűjtőhely/ gyűjtési mód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noWrap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Azonosító kód</w:t>
            </w:r>
          </w:p>
        </w:tc>
        <w:tc>
          <w:tcPr>
            <w:tcW w:w="5778" w:type="dxa"/>
            <w:gridSpan w:val="2"/>
            <w:tcBorders>
              <w:bottom w:val="double" w:sz="4" w:space="0" w:color="auto"/>
            </w:tcBorders>
            <w:noWrap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Megnevezés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  <w:tcBorders>
              <w:top w:val="double" w:sz="4" w:space="0" w:color="auto"/>
            </w:tcBorders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Házhoz menő elkülönítetten gyűjtött települési </w:t>
            </w:r>
            <w:proofErr w:type="gramStart"/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hulladék szállítás</w:t>
            </w:r>
            <w:proofErr w:type="gramEnd"/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br/>
            </w:r>
          </w:p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Veszprém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noWrap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15 01 06</w:t>
            </w:r>
          </w:p>
        </w:tc>
        <w:tc>
          <w:tcPr>
            <w:tcW w:w="2992" w:type="dxa"/>
            <w:vMerge w:val="restart"/>
            <w:tcBorders>
              <w:top w:val="double" w:sz="4" w:space="0" w:color="auto"/>
            </w:tcBorders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papír és </w:t>
            </w:r>
            <w:proofErr w:type="gramStart"/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karton csomagolási</w:t>
            </w:r>
            <w:proofErr w:type="gramEnd"/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hulladék</w:t>
            </w:r>
          </w:p>
        </w:tc>
        <w:tc>
          <w:tcPr>
            <w:tcW w:w="2786" w:type="dxa"/>
            <w:tcBorders>
              <w:top w:val="double" w:sz="4" w:space="0" w:color="auto"/>
            </w:tcBorders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karton doboz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irattároló doboz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hullámpapír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4</w:t>
            </w: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színes, vagy fekete-fehér újság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  <w:noWrap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 w:val="restart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papír és karton  </w:t>
            </w: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irodai papírok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könyvek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prospektusok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csomagoló papírok</w:t>
            </w:r>
          </w:p>
        </w:tc>
      </w:tr>
      <w:tr w:rsidR="0031343E" w:rsidRPr="0031343E" w:rsidTr="00EA59C8">
        <w:trPr>
          <w:trHeight w:val="6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  <w:noWrap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 w:val="restart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műanyag csomagolási hulladék</w:t>
            </w: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ásványvizes-, üdítős palackok és kupakjaik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csomagoló fóliák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műanyag zacskók, fóliák</w:t>
            </w:r>
          </w:p>
        </w:tc>
      </w:tr>
      <w:tr w:rsidR="0031343E" w:rsidRPr="0031343E" w:rsidTr="00EA59C8">
        <w:trPr>
          <w:trHeight w:val="6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tejfölös, joghurtos, margarinos poharak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tisztítószeres flakonok</w:t>
            </w:r>
          </w:p>
        </w:tc>
      </w:tr>
      <w:tr w:rsidR="0031343E" w:rsidRPr="0031343E" w:rsidTr="00EA59C8">
        <w:trPr>
          <w:trHeight w:val="3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  <w:noWrap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noWrap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fém csomagolási</w:t>
            </w:r>
            <w:proofErr w:type="gramEnd"/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hulladék</w:t>
            </w: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alumínium italos dobozok</w:t>
            </w:r>
          </w:p>
        </w:tc>
      </w:tr>
      <w:tr w:rsidR="0031343E" w:rsidRPr="0031343E" w:rsidTr="00EA59C8">
        <w:trPr>
          <w:trHeight w:val="600"/>
          <w:jc w:val="center"/>
        </w:trPr>
        <w:tc>
          <w:tcPr>
            <w:tcW w:w="426" w:type="dxa"/>
          </w:tcPr>
          <w:p w:rsidR="0031343E" w:rsidRPr="0031343E" w:rsidRDefault="0031343E" w:rsidP="0031343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hideMark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417" w:type="dxa"/>
            <w:vMerge/>
            <w:noWrap/>
          </w:tcPr>
          <w:p w:rsidR="0031343E" w:rsidRPr="0031343E" w:rsidRDefault="0031343E" w:rsidP="0031343E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2992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vegyes összetételű kompozit csomagolási hulladék</w:t>
            </w:r>
          </w:p>
        </w:tc>
        <w:tc>
          <w:tcPr>
            <w:tcW w:w="2786" w:type="dxa"/>
            <w:hideMark/>
          </w:tcPr>
          <w:p w:rsidR="0031343E" w:rsidRPr="0031343E" w:rsidRDefault="0031343E" w:rsidP="0031343E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31343E">
              <w:rPr>
                <w:rFonts w:ascii="Tahoma" w:eastAsia="Calibri" w:hAnsi="Tahoma" w:cs="Tahoma"/>
                <w:bCs/>
                <w:color w:val="000080"/>
                <w:lang w:eastAsia="hu-HU"/>
              </w:rPr>
              <w:t>italos karton dobozok</w:t>
            </w:r>
          </w:p>
        </w:tc>
      </w:tr>
    </w:tbl>
    <w:p w:rsidR="0031343E" w:rsidRPr="0031343E" w:rsidRDefault="0031343E" w:rsidP="0031343E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ahoma"/>
          <w:iCs/>
          <w:sz w:val="28"/>
          <w:szCs w:val="28"/>
          <w:lang w:eastAsia="hu-HU"/>
        </w:rPr>
      </w:pPr>
    </w:p>
    <w:p w:rsidR="00D34D5E" w:rsidRDefault="00D34D5E">
      <w:bookmarkStart w:id="0" w:name="_GoBack"/>
      <w:bookmarkEnd w:id="0"/>
    </w:p>
    <w:sectPr w:rsidR="00D3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7B" w:rsidRDefault="004D297B" w:rsidP="0031343E">
      <w:pPr>
        <w:spacing w:after="0" w:line="240" w:lineRule="auto"/>
      </w:pPr>
      <w:r>
        <w:separator/>
      </w:r>
    </w:p>
  </w:endnote>
  <w:endnote w:type="continuationSeparator" w:id="0">
    <w:p w:rsidR="004D297B" w:rsidRDefault="004D297B" w:rsidP="0031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7B" w:rsidRDefault="004D297B" w:rsidP="0031343E">
      <w:pPr>
        <w:spacing w:after="0" w:line="240" w:lineRule="auto"/>
      </w:pPr>
      <w:r>
        <w:separator/>
      </w:r>
    </w:p>
  </w:footnote>
  <w:footnote w:type="continuationSeparator" w:id="0">
    <w:p w:rsidR="004D297B" w:rsidRDefault="004D297B" w:rsidP="0031343E">
      <w:pPr>
        <w:spacing w:after="0" w:line="240" w:lineRule="auto"/>
      </w:pPr>
      <w:r>
        <w:continuationSeparator/>
      </w:r>
    </w:p>
  </w:footnote>
  <w:footnote w:id="1">
    <w:p w:rsidR="0031343E" w:rsidRDefault="0031343E" w:rsidP="0031343E">
      <w:pPr>
        <w:pStyle w:val="Lbjegyzetszveg"/>
      </w:pPr>
      <w:r>
        <w:rPr>
          <w:rStyle w:val="Lbjegyzet-hivatkozs"/>
        </w:rPr>
        <w:footnoteRef/>
      </w:r>
      <w:r>
        <w:t xml:space="preserve"> Módosította a 46/2014. (XII.18.) </w:t>
      </w:r>
      <w:proofErr w:type="spellStart"/>
      <w:r>
        <w:t>Ör</w:t>
      </w:r>
      <w:proofErr w:type="spellEnd"/>
      <w:r>
        <w:t>. 6.§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január 01. napjától</w:t>
      </w:r>
    </w:p>
  </w:footnote>
  <w:footnote w:id="2">
    <w:p w:rsidR="0031343E" w:rsidRDefault="0031343E" w:rsidP="0031343E">
      <w:pPr>
        <w:pStyle w:val="Lbjegyzetszveg"/>
      </w:pPr>
      <w:r>
        <w:rPr>
          <w:rStyle w:val="Lbjegyzet-hivatkozs"/>
        </w:rPr>
        <w:footnoteRef/>
      </w:r>
      <w:r>
        <w:t xml:space="preserve"> Módosította a 39/2015. (XI.26.) </w:t>
      </w:r>
      <w:proofErr w:type="spellStart"/>
      <w:r>
        <w:t>Ör</w:t>
      </w:r>
      <w:proofErr w:type="spellEnd"/>
      <w:r>
        <w:t xml:space="preserve">. 6. § (1) bekezdése. Hatályos 2016.01.01. napjától.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3868"/>
    <w:multiLevelType w:val="hybridMultilevel"/>
    <w:tmpl w:val="46C8C8B8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4A707A51"/>
    <w:multiLevelType w:val="hybridMultilevel"/>
    <w:tmpl w:val="19A65A8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3E"/>
    <w:rsid w:val="0031343E"/>
    <w:rsid w:val="004D297B"/>
    <w:rsid w:val="00D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31343E"/>
    <w:pPr>
      <w:spacing w:after="0" w:line="240" w:lineRule="auto"/>
    </w:pPr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31343E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styleId="Lbjegyzet-hivatkozs">
    <w:name w:val="footnote reference"/>
    <w:unhideWhenUsed/>
    <w:rsid w:val="003134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31343E"/>
    <w:pPr>
      <w:spacing w:after="0" w:line="240" w:lineRule="auto"/>
    </w:pPr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31343E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styleId="Lbjegyzet-hivatkozs">
    <w:name w:val="footnote reference"/>
    <w:unhideWhenUsed/>
    <w:rsid w:val="00313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Dancs Judit</dc:creator>
  <cp:lastModifiedBy>Dr. Dancs Judit</cp:lastModifiedBy>
  <cp:revision>1</cp:revision>
  <dcterms:created xsi:type="dcterms:W3CDTF">2015-11-27T07:34:00Z</dcterms:created>
  <dcterms:modified xsi:type="dcterms:W3CDTF">2015-11-27T07:35:00Z</dcterms:modified>
</cp:coreProperties>
</file>