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507" w:rsidRDefault="00A74507" w:rsidP="00A74507">
      <w:pPr>
        <w:pStyle w:val="Listaszerbekezds"/>
        <w:widowControl w:val="0"/>
        <w:numPr>
          <w:ilvl w:val="0"/>
          <w:numId w:val="3"/>
        </w:numPr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right"/>
        <w:rPr>
          <w:bCs/>
        </w:rPr>
      </w:pPr>
      <w:r w:rsidRPr="00A74507">
        <w:rPr>
          <w:bCs/>
        </w:rPr>
        <w:t xml:space="preserve">számú melléklet a </w:t>
      </w:r>
      <w:r w:rsidRPr="00245C45">
        <w:t xml:space="preserve">3/2004.(II.10.) </w:t>
      </w:r>
      <w:r w:rsidRPr="00A74507">
        <w:rPr>
          <w:bCs/>
        </w:rPr>
        <w:t>rendelethez</w:t>
      </w:r>
    </w:p>
    <w:p w:rsidR="00A74507" w:rsidRPr="00A74507" w:rsidRDefault="00A74507" w:rsidP="00A74507">
      <w:pPr>
        <w:pStyle w:val="Listaszerbekezds"/>
        <w:widowControl w:val="0"/>
        <w:numPr>
          <w:ilvl w:val="2"/>
          <w:numId w:val="1"/>
        </w:numPr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right"/>
        <w:rPr>
          <w:bCs/>
        </w:rPr>
        <w:sectPr w:rsidR="00A74507" w:rsidRPr="00A74507" w:rsidSect="00A74507">
          <w:footnotePr>
            <w:numStart w:val="8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4507" w:rsidRPr="00A74507" w:rsidRDefault="00A74507" w:rsidP="00A74507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ind w:left="2520"/>
        <w:rPr>
          <w:bCs/>
        </w:rPr>
      </w:pPr>
    </w:p>
    <w:p w:rsidR="00A74507" w:rsidRPr="00245C45" w:rsidRDefault="00A74507" w:rsidP="00A74507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right"/>
        <w:rPr>
          <w:bCs/>
        </w:rPr>
      </w:pPr>
    </w:p>
    <w:p w:rsidR="00A74507" w:rsidRDefault="00A74507" w:rsidP="00A74507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right"/>
        <w:rPr>
          <w:bCs/>
        </w:rPr>
      </w:pPr>
    </w:p>
    <w:p w:rsidR="00A74507" w:rsidRPr="00A74507" w:rsidRDefault="00A74507" w:rsidP="00A74507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center"/>
        <w:rPr>
          <w:b/>
          <w:bCs/>
          <w:i/>
          <w:vertAlign w:val="superscript"/>
        </w:rPr>
      </w:pPr>
      <w:r>
        <w:rPr>
          <w:b/>
          <w:bCs/>
          <w:i/>
        </w:rPr>
        <w:t xml:space="preserve">A közterület használatáért fizetendő díjak </w:t>
      </w:r>
      <w:r>
        <w:rPr>
          <w:b/>
          <w:bCs/>
          <w:i/>
          <w:vertAlign w:val="superscript"/>
        </w:rPr>
        <w:t>8</w:t>
      </w:r>
    </w:p>
    <w:p w:rsidR="00A74507" w:rsidRDefault="00A74507" w:rsidP="00A74507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center"/>
        <w:rPr>
          <w:b/>
          <w:bCs/>
          <w:i/>
        </w:rPr>
      </w:pPr>
    </w:p>
    <w:p w:rsidR="00A74507" w:rsidRDefault="00A74507" w:rsidP="00A74507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autoSpaceDE w:val="0"/>
        <w:autoSpaceDN w:val="0"/>
        <w:adjustRightInd w:val="0"/>
        <w:jc w:val="center"/>
        <w:rPr>
          <w:b/>
          <w:bCs/>
          <w:i/>
        </w:rPr>
      </w:pPr>
    </w:p>
    <w:p w:rsidR="00A74507" w:rsidRPr="007468E4" w:rsidRDefault="00A74507" w:rsidP="00A74507">
      <w:pPr>
        <w:jc w:val="both"/>
      </w:pPr>
    </w:p>
    <w:tbl>
      <w:tblPr>
        <w:tblpPr w:leftFromText="141" w:rightFromText="141" w:vertAnchor="text" w:horzAnchor="margin" w:tblpY="37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6227"/>
        <w:gridCol w:w="2824"/>
      </w:tblGrid>
      <w:tr w:rsidR="00A74507" w:rsidRPr="004B1FA8" w:rsidTr="00D55740">
        <w:tc>
          <w:tcPr>
            <w:tcW w:w="696" w:type="dxa"/>
          </w:tcPr>
          <w:p w:rsidR="00A74507" w:rsidRPr="004B1FA8" w:rsidRDefault="00A74507" w:rsidP="00D55740">
            <w:pPr>
              <w:jc w:val="both"/>
            </w:pPr>
          </w:p>
        </w:tc>
        <w:tc>
          <w:tcPr>
            <w:tcW w:w="6227" w:type="dxa"/>
          </w:tcPr>
          <w:p w:rsidR="00A74507" w:rsidRDefault="00A74507" w:rsidP="00D55740">
            <w:pPr>
              <w:jc w:val="center"/>
            </w:pPr>
            <w:r w:rsidRPr="004B1FA8">
              <w:t>A</w:t>
            </w:r>
          </w:p>
          <w:p w:rsidR="00A74507" w:rsidRPr="004B1FA8" w:rsidRDefault="00A74507" w:rsidP="00D55740">
            <w:pPr>
              <w:jc w:val="center"/>
            </w:pPr>
          </w:p>
        </w:tc>
        <w:tc>
          <w:tcPr>
            <w:tcW w:w="2824" w:type="dxa"/>
          </w:tcPr>
          <w:p w:rsidR="00A74507" w:rsidRPr="004B1FA8" w:rsidRDefault="00A74507" w:rsidP="00D55740">
            <w:pPr>
              <w:jc w:val="center"/>
            </w:pPr>
            <w:r w:rsidRPr="004B1FA8">
              <w:t>B</w:t>
            </w:r>
          </w:p>
        </w:tc>
      </w:tr>
      <w:tr w:rsidR="00A74507" w:rsidRPr="004B1FA8" w:rsidTr="00D55740">
        <w:tc>
          <w:tcPr>
            <w:tcW w:w="696" w:type="dxa"/>
            <w:vAlign w:val="center"/>
          </w:tcPr>
          <w:p w:rsidR="00A74507" w:rsidRPr="00245C45" w:rsidRDefault="00A74507" w:rsidP="00D55740">
            <w:pPr>
              <w:jc w:val="center"/>
            </w:pPr>
            <w:r w:rsidRPr="00245C45">
              <w:t>1</w:t>
            </w:r>
            <w:r>
              <w:t>.</w:t>
            </w:r>
          </w:p>
        </w:tc>
        <w:tc>
          <w:tcPr>
            <w:tcW w:w="6227" w:type="dxa"/>
          </w:tcPr>
          <w:p w:rsidR="00A74507" w:rsidRPr="00245C45" w:rsidRDefault="00A74507" w:rsidP="00D55740">
            <w:pPr>
              <w:jc w:val="both"/>
            </w:pPr>
            <w:r w:rsidRPr="00245C45">
              <w:t>A közterület használat célja</w:t>
            </w:r>
          </w:p>
        </w:tc>
        <w:tc>
          <w:tcPr>
            <w:tcW w:w="2824" w:type="dxa"/>
          </w:tcPr>
          <w:p w:rsidR="00A74507" w:rsidRPr="00245C45" w:rsidRDefault="00A74507" w:rsidP="00D55740">
            <w:pPr>
              <w:jc w:val="both"/>
            </w:pPr>
            <w:r w:rsidRPr="00245C45">
              <w:t>A közterület-használat díja</w:t>
            </w:r>
          </w:p>
          <w:p w:rsidR="00A74507" w:rsidRPr="00245C45" w:rsidRDefault="00A74507" w:rsidP="00D55740">
            <w:pPr>
              <w:jc w:val="both"/>
            </w:pPr>
          </w:p>
        </w:tc>
      </w:tr>
      <w:tr w:rsidR="00A74507" w:rsidRPr="004B1FA8" w:rsidTr="00D55740">
        <w:tc>
          <w:tcPr>
            <w:tcW w:w="696" w:type="dxa"/>
            <w:vAlign w:val="center"/>
          </w:tcPr>
          <w:p w:rsidR="00A74507" w:rsidRPr="00245C45" w:rsidRDefault="00A74507" w:rsidP="00D55740">
            <w:pPr>
              <w:jc w:val="center"/>
            </w:pPr>
            <w:r>
              <w:t>2.</w:t>
            </w:r>
          </w:p>
        </w:tc>
        <w:tc>
          <w:tcPr>
            <w:tcW w:w="6227" w:type="dxa"/>
          </w:tcPr>
          <w:p w:rsidR="00A74507" w:rsidRDefault="00A74507" w:rsidP="00D55740">
            <w:pPr>
              <w:jc w:val="both"/>
            </w:pPr>
            <w:r w:rsidRPr="00245C45">
              <w:t>Árusítófülke, pavilon</w:t>
            </w:r>
          </w:p>
          <w:p w:rsidR="00A74507" w:rsidRPr="00245C45" w:rsidRDefault="00A74507" w:rsidP="00D55740">
            <w:pPr>
              <w:jc w:val="both"/>
            </w:pPr>
          </w:p>
        </w:tc>
        <w:tc>
          <w:tcPr>
            <w:tcW w:w="2824" w:type="dxa"/>
            <w:vAlign w:val="center"/>
          </w:tcPr>
          <w:p w:rsidR="00A74507" w:rsidRPr="00893E0D" w:rsidRDefault="00A74507" w:rsidP="00D55740">
            <w:pPr>
              <w:jc w:val="center"/>
            </w:pPr>
            <w:r w:rsidRPr="00893E0D">
              <w:t>2 000 Ft/m</w:t>
            </w:r>
            <w:r w:rsidRPr="00893E0D">
              <w:rPr>
                <w:vertAlign w:val="superscript"/>
              </w:rPr>
              <w:t>2</w:t>
            </w:r>
            <w:r w:rsidRPr="00893E0D">
              <w:t>/hó</w:t>
            </w:r>
          </w:p>
        </w:tc>
      </w:tr>
      <w:tr w:rsidR="00A74507" w:rsidRPr="004B1FA8" w:rsidTr="00D55740">
        <w:trPr>
          <w:trHeight w:val="585"/>
        </w:trPr>
        <w:tc>
          <w:tcPr>
            <w:tcW w:w="696" w:type="dxa"/>
            <w:vAlign w:val="center"/>
          </w:tcPr>
          <w:p w:rsidR="00A74507" w:rsidRPr="00245C45" w:rsidRDefault="00A74507" w:rsidP="00D55740">
            <w:pPr>
              <w:jc w:val="center"/>
            </w:pPr>
            <w:r>
              <w:t>3.</w:t>
            </w:r>
          </w:p>
        </w:tc>
        <w:tc>
          <w:tcPr>
            <w:tcW w:w="6227" w:type="dxa"/>
          </w:tcPr>
          <w:p w:rsidR="00A74507" w:rsidRPr="00245C45" w:rsidRDefault="00A74507" w:rsidP="00D55740">
            <w:pPr>
              <w:jc w:val="both"/>
            </w:pPr>
            <w:r w:rsidRPr="00245C45">
              <w:t>Önálló hirdető-berendezések, táblák, transzparensek</w:t>
            </w:r>
          </w:p>
        </w:tc>
        <w:tc>
          <w:tcPr>
            <w:tcW w:w="2824" w:type="dxa"/>
            <w:vAlign w:val="center"/>
          </w:tcPr>
          <w:p w:rsidR="00A74507" w:rsidRPr="00893E0D" w:rsidRDefault="00A74507" w:rsidP="00D55740">
            <w:pPr>
              <w:jc w:val="center"/>
            </w:pPr>
            <w:r w:rsidRPr="00893E0D">
              <w:t>500 Ft/m</w:t>
            </w:r>
            <w:r w:rsidRPr="00893E0D">
              <w:rPr>
                <w:vertAlign w:val="superscript"/>
              </w:rPr>
              <w:t>2</w:t>
            </w:r>
            <w:r w:rsidRPr="00893E0D">
              <w:t>/hó</w:t>
            </w:r>
          </w:p>
        </w:tc>
      </w:tr>
      <w:tr w:rsidR="00A74507" w:rsidRPr="004B1FA8" w:rsidTr="00D55740">
        <w:tc>
          <w:tcPr>
            <w:tcW w:w="696" w:type="dxa"/>
            <w:vAlign w:val="center"/>
          </w:tcPr>
          <w:p w:rsidR="00A74507" w:rsidRPr="00245C45" w:rsidRDefault="00A74507" w:rsidP="00D55740">
            <w:pPr>
              <w:jc w:val="center"/>
            </w:pPr>
            <w:r>
              <w:t>4.</w:t>
            </w:r>
          </w:p>
        </w:tc>
        <w:tc>
          <w:tcPr>
            <w:tcW w:w="6227" w:type="dxa"/>
          </w:tcPr>
          <w:p w:rsidR="00A74507" w:rsidRPr="00245C45" w:rsidRDefault="00A74507" w:rsidP="00D55740">
            <w:pPr>
              <w:jc w:val="both"/>
            </w:pPr>
            <w:r w:rsidRPr="00245C45">
              <w:t>Építési munkával kapcsolatos építőanyag- és törmeléktárolás, állványelhelyezés</w:t>
            </w:r>
          </w:p>
        </w:tc>
        <w:tc>
          <w:tcPr>
            <w:tcW w:w="2824" w:type="dxa"/>
            <w:vAlign w:val="center"/>
          </w:tcPr>
          <w:p w:rsidR="00A74507" w:rsidRPr="00893E0D" w:rsidRDefault="00A74507" w:rsidP="00D55740">
            <w:pPr>
              <w:jc w:val="center"/>
            </w:pPr>
            <w:r w:rsidRPr="00893E0D">
              <w:t>150 Ft/m</w:t>
            </w:r>
            <w:r w:rsidRPr="00893E0D">
              <w:rPr>
                <w:vertAlign w:val="superscript"/>
              </w:rPr>
              <w:t>2</w:t>
            </w:r>
            <w:r w:rsidRPr="00893E0D">
              <w:t>/hó</w:t>
            </w:r>
          </w:p>
        </w:tc>
      </w:tr>
      <w:tr w:rsidR="00A74507" w:rsidRPr="004B1FA8" w:rsidTr="00D55740">
        <w:tc>
          <w:tcPr>
            <w:tcW w:w="696" w:type="dxa"/>
            <w:vAlign w:val="center"/>
          </w:tcPr>
          <w:p w:rsidR="00A74507" w:rsidRPr="00245C45" w:rsidRDefault="00A74507" w:rsidP="00D55740">
            <w:pPr>
              <w:jc w:val="center"/>
            </w:pPr>
            <w:r>
              <w:t>5</w:t>
            </w:r>
            <w:r w:rsidRPr="00245C45">
              <w:t>.</w:t>
            </w:r>
          </w:p>
        </w:tc>
        <w:tc>
          <w:tcPr>
            <w:tcW w:w="6227" w:type="dxa"/>
          </w:tcPr>
          <w:p w:rsidR="00A74507" w:rsidRPr="00B534F2" w:rsidRDefault="00A74507" w:rsidP="00D55740">
            <w:pPr>
              <w:jc w:val="both"/>
            </w:pPr>
            <w:r w:rsidRPr="00245C45">
              <w:t>Alkalmi</w:t>
            </w:r>
            <w:r w:rsidRPr="00B534F2">
              <w:t xml:space="preserve"> </w:t>
            </w:r>
            <w:r>
              <w:t>és mozgóárusítás</w:t>
            </w:r>
            <w:r w:rsidRPr="00B534F2">
              <w:t xml:space="preserve"> árusítás</w:t>
            </w:r>
          </w:p>
          <w:p w:rsidR="00A74507" w:rsidRPr="00245C45" w:rsidRDefault="00A74507" w:rsidP="00D55740">
            <w:pPr>
              <w:jc w:val="both"/>
            </w:pPr>
          </w:p>
        </w:tc>
        <w:tc>
          <w:tcPr>
            <w:tcW w:w="2824" w:type="dxa"/>
            <w:vAlign w:val="center"/>
          </w:tcPr>
          <w:p w:rsidR="00A74507" w:rsidRPr="00893E0D" w:rsidRDefault="00A74507" w:rsidP="00D55740">
            <w:pPr>
              <w:jc w:val="center"/>
            </w:pPr>
            <w:r w:rsidRPr="00893E0D">
              <w:t>300 Ft/nap</w:t>
            </w:r>
          </w:p>
        </w:tc>
      </w:tr>
      <w:tr w:rsidR="00A74507" w:rsidRPr="004B1FA8" w:rsidTr="00D55740">
        <w:tc>
          <w:tcPr>
            <w:tcW w:w="696" w:type="dxa"/>
            <w:vAlign w:val="center"/>
          </w:tcPr>
          <w:p w:rsidR="00A74507" w:rsidRDefault="00A74507" w:rsidP="00D55740">
            <w:pPr>
              <w:jc w:val="center"/>
            </w:pPr>
          </w:p>
          <w:p w:rsidR="00A74507" w:rsidRDefault="00A74507" w:rsidP="00D55740">
            <w:pPr>
              <w:jc w:val="center"/>
            </w:pPr>
            <w:r>
              <w:t>6.</w:t>
            </w:r>
          </w:p>
        </w:tc>
        <w:tc>
          <w:tcPr>
            <w:tcW w:w="6227" w:type="dxa"/>
          </w:tcPr>
          <w:p w:rsidR="00A74507" w:rsidRPr="00245C45" w:rsidRDefault="00A74507" w:rsidP="00D55740">
            <w:pPr>
              <w:jc w:val="both"/>
            </w:pPr>
            <w:r>
              <w:t>P</w:t>
            </w:r>
            <w:r w:rsidRPr="00B534F2">
              <w:t>iaci</w:t>
            </w:r>
            <w:r>
              <w:t xml:space="preserve"> árusítás</w:t>
            </w:r>
          </w:p>
        </w:tc>
        <w:tc>
          <w:tcPr>
            <w:tcW w:w="2824" w:type="dxa"/>
            <w:vAlign w:val="center"/>
          </w:tcPr>
          <w:p w:rsidR="00A74507" w:rsidRPr="00893E0D" w:rsidRDefault="00A74507" w:rsidP="00D55740">
            <w:pPr>
              <w:jc w:val="center"/>
            </w:pPr>
            <w:r w:rsidRPr="00893E0D">
              <w:t>300 Ft/m</w:t>
            </w:r>
            <w:r w:rsidRPr="00893E0D">
              <w:rPr>
                <w:vertAlign w:val="superscript"/>
              </w:rPr>
              <w:t>2</w:t>
            </w:r>
            <w:r w:rsidRPr="00893E0D">
              <w:t>/hó</w:t>
            </w:r>
          </w:p>
        </w:tc>
      </w:tr>
      <w:tr w:rsidR="00A74507" w:rsidRPr="004B1FA8" w:rsidTr="00D55740">
        <w:tc>
          <w:tcPr>
            <w:tcW w:w="696" w:type="dxa"/>
            <w:vAlign w:val="center"/>
          </w:tcPr>
          <w:p w:rsidR="00A74507" w:rsidRPr="00245C45" w:rsidRDefault="00A74507" w:rsidP="00D55740">
            <w:pPr>
              <w:jc w:val="center"/>
            </w:pPr>
            <w:r>
              <w:t>7.</w:t>
            </w:r>
          </w:p>
        </w:tc>
        <w:tc>
          <w:tcPr>
            <w:tcW w:w="6227" w:type="dxa"/>
          </w:tcPr>
          <w:p w:rsidR="00A74507" w:rsidRDefault="00A74507" w:rsidP="00D55740">
            <w:pPr>
              <w:jc w:val="both"/>
            </w:pPr>
            <w:r w:rsidRPr="00245C45">
              <w:t>Mozgóbolt</w:t>
            </w:r>
          </w:p>
          <w:p w:rsidR="00A74507" w:rsidRPr="00245C45" w:rsidRDefault="00A74507" w:rsidP="00D55740">
            <w:pPr>
              <w:jc w:val="both"/>
            </w:pPr>
          </w:p>
        </w:tc>
        <w:tc>
          <w:tcPr>
            <w:tcW w:w="2824" w:type="dxa"/>
            <w:vAlign w:val="center"/>
          </w:tcPr>
          <w:p w:rsidR="00A74507" w:rsidRPr="00893E0D" w:rsidRDefault="00A74507" w:rsidP="00D55740">
            <w:pPr>
              <w:jc w:val="center"/>
            </w:pPr>
            <w:r w:rsidRPr="00893E0D">
              <w:t>500 Ft/nap</w:t>
            </w:r>
          </w:p>
        </w:tc>
      </w:tr>
      <w:tr w:rsidR="00A74507" w:rsidRPr="004B1FA8" w:rsidTr="00D55740">
        <w:tc>
          <w:tcPr>
            <w:tcW w:w="696" w:type="dxa"/>
            <w:vAlign w:val="center"/>
          </w:tcPr>
          <w:p w:rsidR="00A74507" w:rsidRPr="00245C45" w:rsidRDefault="00A74507" w:rsidP="00D55740">
            <w:pPr>
              <w:jc w:val="center"/>
            </w:pPr>
            <w:r>
              <w:t>8.</w:t>
            </w:r>
          </w:p>
        </w:tc>
        <w:tc>
          <w:tcPr>
            <w:tcW w:w="6227" w:type="dxa"/>
          </w:tcPr>
          <w:p w:rsidR="00A74507" w:rsidRDefault="00A74507" w:rsidP="00D55740">
            <w:pPr>
              <w:jc w:val="both"/>
            </w:pPr>
            <w:r w:rsidRPr="00245C45">
              <w:t>Vendéglátóipari előkert</w:t>
            </w:r>
          </w:p>
          <w:p w:rsidR="00A74507" w:rsidRPr="00245C45" w:rsidRDefault="00A74507" w:rsidP="00D55740">
            <w:pPr>
              <w:jc w:val="both"/>
            </w:pPr>
          </w:p>
        </w:tc>
        <w:tc>
          <w:tcPr>
            <w:tcW w:w="2824" w:type="dxa"/>
            <w:vAlign w:val="center"/>
          </w:tcPr>
          <w:p w:rsidR="00A74507" w:rsidRPr="00893E0D" w:rsidRDefault="00A74507" w:rsidP="00D55740">
            <w:pPr>
              <w:jc w:val="center"/>
            </w:pPr>
            <w:r w:rsidRPr="00893E0D">
              <w:t>200 Ft/m</w:t>
            </w:r>
            <w:r w:rsidRPr="00893E0D">
              <w:rPr>
                <w:vertAlign w:val="superscript"/>
              </w:rPr>
              <w:t>2</w:t>
            </w:r>
            <w:r w:rsidRPr="00893E0D">
              <w:t>/hó</w:t>
            </w:r>
          </w:p>
        </w:tc>
      </w:tr>
      <w:tr w:rsidR="00A74507" w:rsidRPr="004B1FA8" w:rsidTr="00D55740">
        <w:tc>
          <w:tcPr>
            <w:tcW w:w="696" w:type="dxa"/>
            <w:vAlign w:val="center"/>
          </w:tcPr>
          <w:p w:rsidR="00A74507" w:rsidRPr="00245C45" w:rsidRDefault="00A74507" w:rsidP="00D55740">
            <w:pPr>
              <w:jc w:val="center"/>
            </w:pPr>
            <w:r>
              <w:t>9.</w:t>
            </w:r>
          </w:p>
        </w:tc>
        <w:tc>
          <w:tcPr>
            <w:tcW w:w="6227" w:type="dxa"/>
          </w:tcPr>
          <w:p w:rsidR="00A74507" w:rsidRPr="00245C45" w:rsidRDefault="00A74507" w:rsidP="00D55740">
            <w:pPr>
              <w:jc w:val="both"/>
            </w:pPr>
            <w:r w:rsidRPr="00245C45">
              <w:t>Mutatványos és egyéb szórakoztató tevékenység (pl. cirkusz, búcsú)</w:t>
            </w:r>
          </w:p>
        </w:tc>
        <w:tc>
          <w:tcPr>
            <w:tcW w:w="2824" w:type="dxa"/>
            <w:vAlign w:val="center"/>
          </w:tcPr>
          <w:p w:rsidR="00A74507" w:rsidRPr="00893E0D" w:rsidRDefault="00A74507" w:rsidP="00D55740">
            <w:pPr>
              <w:jc w:val="center"/>
            </w:pPr>
          </w:p>
          <w:p w:rsidR="00A74507" w:rsidRPr="00893E0D" w:rsidRDefault="00A74507" w:rsidP="00D55740">
            <w:pPr>
              <w:jc w:val="center"/>
            </w:pPr>
            <w:r w:rsidRPr="00893E0D">
              <w:t>300 Ft/m</w:t>
            </w:r>
            <w:r w:rsidRPr="00893E0D">
              <w:rPr>
                <w:vertAlign w:val="superscript"/>
              </w:rPr>
              <w:t>2</w:t>
            </w:r>
            <w:r w:rsidRPr="00893E0D">
              <w:t>/nap</w:t>
            </w:r>
          </w:p>
        </w:tc>
      </w:tr>
    </w:tbl>
    <w:p w:rsidR="00A74507" w:rsidRDefault="00A74507" w:rsidP="00A74507"/>
    <w:p w:rsidR="00CE4C96" w:rsidRDefault="00CE4C96"/>
    <w:p w:rsidR="00A74507" w:rsidRDefault="00A74507"/>
    <w:p w:rsidR="00A74507" w:rsidRDefault="00A74507"/>
    <w:p w:rsidR="00A74507" w:rsidRDefault="00A74507"/>
    <w:p w:rsidR="00A74507" w:rsidRDefault="00A74507"/>
    <w:p w:rsidR="00A74507" w:rsidRDefault="00A74507"/>
    <w:p w:rsidR="00A74507" w:rsidRDefault="00A74507"/>
    <w:p w:rsidR="00A74507" w:rsidRDefault="00A74507"/>
    <w:p w:rsidR="00A74507" w:rsidRDefault="00A74507"/>
    <w:p w:rsidR="00A74507" w:rsidRDefault="00A74507"/>
    <w:p w:rsidR="00A74507" w:rsidRDefault="00A74507"/>
    <w:p w:rsidR="00A74507" w:rsidRDefault="00A74507"/>
    <w:p w:rsidR="00A74507" w:rsidRDefault="00A74507"/>
    <w:p w:rsidR="00A74507" w:rsidRDefault="00A74507"/>
    <w:p w:rsidR="00A74507" w:rsidRDefault="00A74507"/>
    <w:p w:rsidR="00A74507" w:rsidRDefault="00A74507"/>
    <w:p w:rsidR="00A74507" w:rsidRDefault="00A74507"/>
    <w:p w:rsidR="00A74507" w:rsidRDefault="00A74507"/>
    <w:p w:rsidR="00A74507" w:rsidRDefault="00A74507"/>
    <w:p w:rsidR="00A74507" w:rsidRDefault="00A74507" w:rsidP="00A74507">
      <w:pPr>
        <w:pStyle w:val="Lbjegyzetszveg"/>
      </w:pPr>
      <w:r>
        <w:rPr>
          <w:vertAlign w:val="superscript"/>
        </w:rPr>
        <w:t>8</w:t>
      </w:r>
      <w:r w:rsidRPr="00A74507">
        <w:t xml:space="preserve"> </w:t>
      </w:r>
      <w:r>
        <w:t>módosította a 12/2016. (VII. 25.) önkormányzati rendelet 1. §-a, hatályos 2016. augusztus 1. napjától</w:t>
      </w:r>
    </w:p>
    <w:p w:rsidR="00A74507" w:rsidRPr="00A74507" w:rsidRDefault="00A74507">
      <w:pPr>
        <w:rPr>
          <w:vertAlign w:val="superscript"/>
        </w:rPr>
      </w:pPr>
    </w:p>
    <w:sectPr w:rsidR="00A74507" w:rsidRPr="00A74507" w:rsidSect="00A7450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48E" w:rsidRDefault="0043748E" w:rsidP="00A74507">
      <w:r>
        <w:separator/>
      </w:r>
    </w:p>
  </w:endnote>
  <w:endnote w:type="continuationSeparator" w:id="0">
    <w:p w:rsidR="0043748E" w:rsidRDefault="0043748E" w:rsidP="00A74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48E" w:rsidRDefault="0043748E" w:rsidP="00A74507">
      <w:r>
        <w:separator/>
      </w:r>
    </w:p>
  </w:footnote>
  <w:footnote w:type="continuationSeparator" w:id="0">
    <w:p w:rsidR="0043748E" w:rsidRDefault="0043748E" w:rsidP="00A745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B6276"/>
    <w:multiLevelType w:val="hybridMultilevel"/>
    <w:tmpl w:val="CA4ED168"/>
    <w:lvl w:ilvl="0" w:tplc="62A6E4A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4363012C"/>
    <w:multiLevelType w:val="hybridMultilevel"/>
    <w:tmpl w:val="DE18D75E"/>
    <w:lvl w:ilvl="0" w:tplc="BDA613A4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5CAD2932"/>
    <w:multiLevelType w:val="multilevel"/>
    <w:tmpl w:val="8D7EBCB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Start w:val="8"/>
    <w:footnote w:id="-1"/>
    <w:footnote w:id="0"/>
  </w:footnotePr>
  <w:endnotePr>
    <w:endnote w:id="-1"/>
    <w:endnote w:id="0"/>
  </w:endnotePr>
  <w:compat/>
  <w:rsids>
    <w:rsidRoot w:val="00A74507"/>
    <w:rsid w:val="00271CEA"/>
    <w:rsid w:val="0043748E"/>
    <w:rsid w:val="0081410B"/>
    <w:rsid w:val="00A74507"/>
    <w:rsid w:val="00CE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4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A74507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74507"/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A7450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A745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5AD1E-27E6-4786-AFC3-30442E4A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643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2016-08-09T10:17:00Z</dcterms:created>
  <dcterms:modified xsi:type="dcterms:W3CDTF">2016-08-09T10:24:00Z</dcterms:modified>
</cp:coreProperties>
</file>