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F68C4" w14:textId="77777777" w:rsidR="007A5465" w:rsidRDefault="007A5465" w:rsidP="007A5465">
      <w:pPr>
        <w:spacing w:after="240"/>
        <w:jc w:val="right"/>
        <w:rPr>
          <w:i/>
          <w:u w:val="single"/>
        </w:rPr>
      </w:pPr>
      <w:r>
        <w:rPr>
          <w:i/>
          <w:u w:val="single"/>
        </w:rPr>
        <w:t>2. melléklet</w:t>
      </w:r>
    </w:p>
    <w:p w14:paraId="33D2F5BB" w14:textId="77777777" w:rsidR="007A5465" w:rsidRDefault="007A5465" w:rsidP="007A5465">
      <w:pPr>
        <w:spacing w:after="240"/>
        <w:jc w:val="center"/>
        <w:rPr>
          <w:b/>
        </w:rPr>
      </w:pPr>
      <w:r>
        <w:rPr>
          <w:b/>
        </w:rPr>
        <w:t>A Közterületek használatáról szóló 10/2013.(VII.12.) önkormányzati rendelethez</w:t>
      </w:r>
    </w:p>
    <w:p w14:paraId="0A9B8D4B" w14:textId="77777777" w:rsidR="007A5465" w:rsidRDefault="007A5465" w:rsidP="007A5465">
      <w:pPr>
        <w:spacing w:after="240"/>
        <w:jc w:val="center"/>
        <w:rPr>
          <w:b/>
        </w:rPr>
      </w:pPr>
    </w:p>
    <w:p w14:paraId="3F29C832" w14:textId="04A6B5DD" w:rsidR="007A5465" w:rsidRDefault="007A5465" w:rsidP="007A5465">
      <w:pPr>
        <w:spacing w:after="240"/>
        <w:jc w:val="center"/>
        <w:rPr>
          <w:b/>
        </w:rPr>
      </w:pPr>
      <w:r>
        <w:rPr>
          <w:b/>
        </w:rPr>
        <w:t>Közterülethasználati díjak mértéke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4"/>
        <w:gridCol w:w="5342"/>
        <w:gridCol w:w="12"/>
        <w:gridCol w:w="2607"/>
      </w:tblGrid>
      <w:tr w:rsidR="007A5465" w14:paraId="18A08952" w14:textId="77777777" w:rsidTr="00657B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40F20805" w14:textId="77777777" w:rsidR="007A5465" w:rsidRDefault="007A5465" w:rsidP="00657B03">
            <w:pPr>
              <w:ind w:right="170"/>
              <w:jc w:val="right"/>
            </w:pPr>
            <w:r>
              <w:t>1.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</w:tcPr>
          <w:p w14:paraId="202A8A33" w14:textId="77777777" w:rsidR="007A5465" w:rsidRDefault="007A5465" w:rsidP="00657B03">
            <w:r>
              <w:t>A közterületbe 10 cm-en túl benyúló üzlethomlokzat (portál), kirakatszekrény, üzleti védőtető (előtető), ernyőszerkezet, hirdetőberendezés (fényreklám), cég és címtábla m</w:t>
            </w:r>
            <w:r>
              <w:rPr>
                <w:position w:val="6"/>
              </w:rPr>
              <w:t>2</w:t>
            </w:r>
            <w:r>
              <w:t>-enkénti díj tényleges felületre vonatkozik)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048CF6" w14:textId="77777777" w:rsidR="007A5465" w:rsidRDefault="007A5465" w:rsidP="00657B03">
            <w:pPr>
              <w:ind w:right="284"/>
              <w:jc w:val="right"/>
            </w:pPr>
            <w:r>
              <w:br/>
            </w:r>
            <w:r>
              <w:br/>
              <w:t>250 Ft/m</w:t>
            </w:r>
            <w:r>
              <w:rPr>
                <w:position w:val="10"/>
                <w:sz w:val="16"/>
              </w:rPr>
              <w:t>2</w:t>
            </w:r>
            <w:r>
              <w:t>/év</w:t>
            </w:r>
          </w:p>
        </w:tc>
      </w:tr>
      <w:tr w:rsidR="007A5465" w14:paraId="64D7C342" w14:textId="77777777" w:rsidTr="00657B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61C0BAFF" w14:textId="77777777" w:rsidR="007A5465" w:rsidRDefault="007A5465" w:rsidP="00657B03">
            <w:pPr>
              <w:ind w:right="170"/>
              <w:jc w:val="right"/>
            </w:pPr>
            <w:r>
              <w:t xml:space="preserve">2. 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</w:tcPr>
          <w:p w14:paraId="39D2A8EC" w14:textId="77777777" w:rsidR="007A5465" w:rsidRDefault="007A5465" w:rsidP="00657B03">
            <w:r>
              <w:t>Árusítófülke, pavilon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A728DE" w14:textId="77777777" w:rsidR="007A5465" w:rsidRDefault="007A5465" w:rsidP="00657B03">
            <w:pPr>
              <w:ind w:right="284"/>
              <w:jc w:val="right"/>
            </w:pPr>
            <w:r>
              <w:t>500 Ft/m</w:t>
            </w:r>
            <w:r>
              <w:rPr>
                <w:position w:val="10"/>
                <w:sz w:val="16"/>
              </w:rPr>
              <w:t>2</w:t>
            </w:r>
            <w:r>
              <w:t>/hó</w:t>
            </w:r>
          </w:p>
        </w:tc>
      </w:tr>
      <w:tr w:rsidR="007A5465" w14:paraId="6FC29371" w14:textId="77777777" w:rsidTr="00657B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446AA96C" w14:textId="77777777" w:rsidR="007A5465" w:rsidRDefault="007A5465" w:rsidP="00657B03">
            <w:pPr>
              <w:ind w:right="170"/>
              <w:jc w:val="right"/>
            </w:pPr>
            <w:r>
              <w:t>3.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</w:tcPr>
          <w:p w14:paraId="4AF26408" w14:textId="77777777" w:rsidR="007A5465" w:rsidRDefault="007A5465" w:rsidP="00657B03">
            <w:r>
              <w:t>Pótkocsi, munkagép, mezőgazdasági vontató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471E7" w14:textId="77777777" w:rsidR="007A5465" w:rsidRDefault="007A5465" w:rsidP="00657B03">
            <w:pPr>
              <w:ind w:right="284"/>
              <w:jc w:val="right"/>
            </w:pPr>
            <w:r>
              <w:t xml:space="preserve">1 000 Ft/hó </w:t>
            </w:r>
          </w:p>
        </w:tc>
      </w:tr>
      <w:tr w:rsidR="007A5465" w14:paraId="3A7E7756" w14:textId="77777777" w:rsidTr="00657B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169F3ECE" w14:textId="77777777" w:rsidR="007A5465" w:rsidRDefault="007A5465" w:rsidP="00657B03">
            <w:pPr>
              <w:ind w:right="170"/>
              <w:jc w:val="right"/>
            </w:pPr>
            <w:r>
              <w:t>4.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</w:tcPr>
          <w:p w14:paraId="763915E9" w14:textId="77777777" w:rsidR="007A5465" w:rsidRDefault="007A5465" w:rsidP="00657B03">
            <w:r>
              <w:t>– Személygépkocsinként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A8AE0" w14:textId="77777777" w:rsidR="007A5465" w:rsidRDefault="007A5465" w:rsidP="00657B03">
            <w:pPr>
              <w:ind w:right="284"/>
              <w:jc w:val="right"/>
            </w:pPr>
            <w:r>
              <w:t>3 000 Ft/év</w:t>
            </w:r>
          </w:p>
        </w:tc>
      </w:tr>
      <w:tr w:rsidR="007A5465" w14:paraId="276111DB" w14:textId="77777777" w:rsidTr="00657B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20B4EE6B" w14:textId="77777777" w:rsidR="007A5465" w:rsidRDefault="007A5465" w:rsidP="00657B03">
            <w:pPr>
              <w:ind w:right="170"/>
              <w:jc w:val="right"/>
            </w:pP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</w:tcPr>
          <w:p w14:paraId="582B3FFC" w14:textId="77777777" w:rsidR="007A5465" w:rsidRDefault="007A5465" w:rsidP="00657B03">
            <w:pPr>
              <w:ind w:left="237" w:hanging="237"/>
            </w:pPr>
            <w:r>
              <w:t>– Teher- és különleges gépjárművek, valamint, ezek vontatmányainak elhelyezésére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427A78" w14:textId="77777777" w:rsidR="007A5465" w:rsidRDefault="007A5465" w:rsidP="00657B03">
            <w:pPr>
              <w:ind w:right="284"/>
              <w:jc w:val="right"/>
            </w:pPr>
            <w:r>
              <w:br/>
              <w:t>50 Ft/m</w:t>
            </w:r>
            <w:r>
              <w:rPr>
                <w:position w:val="10"/>
                <w:sz w:val="16"/>
              </w:rPr>
              <w:t>2</w:t>
            </w:r>
            <w:r>
              <w:t>/év</w:t>
            </w:r>
          </w:p>
        </w:tc>
      </w:tr>
      <w:tr w:rsidR="007A5465" w14:paraId="75F0DF0C" w14:textId="77777777" w:rsidTr="00657B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51F6C43E" w14:textId="77777777" w:rsidR="007A5465" w:rsidRDefault="007A5465" w:rsidP="00657B03">
            <w:pPr>
              <w:ind w:right="170"/>
              <w:jc w:val="right"/>
            </w:pPr>
            <w:r>
              <w:t>5.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</w:tcPr>
          <w:p w14:paraId="02D35585" w14:textId="77777777" w:rsidR="007A5465" w:rsidRDefault="007A5465" w:rsidP="00657B03">
            <w:r>
              <w:t>– Önálló hirdetőberendezések, táblák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847E60" w14:textId="77777777" w:rsidR="007A5465" w:rsidRDefault="007A5465" w:rsidP="00657B03">
            <w:pPr>
              <w:ind w:right="284"/>
              <w:jc w:val="right"/>
            </w:pPr>
            <w:r>
              <w:t>500 Ft/m</w:t>
            </w:r>
            <w:r>
              <w:rPr>
                <w:position w:val="10"/>
                <w:sz w:val="16"/>
              </w:rPr>
              <w:t>2</w:t>
            </w:r>
            <w:r>
              <w:t>/hó</w:t>
            </w:r>
          </w:p>
        </w:tc>
      </w:tr>
      <w:tr w:rsidR="007A5465" w14:paraId="790B9F91" w14:textId="77777777" w:rsidTr="00657B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34A9CCB6" w14:textId="77777777" w:rsidR="007A5465" w:rsidRDefault="007A5465" w:rsidP="00657B03">
            <w:pPr>
              <w:ind w:right="170"/>
              <w:jc w:val="right"/>
            </w:pP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</w:tcPr>
          <w:p w14:paraId="711F246D" w14:textId="77777777" w:rsidR="007A5465" w:rsidRDefault="007A5465" w:rsidP="00657B03">
            <w:r>
              <w:t>– Transzparensek (felülete m</w:t>
            </w:r>
            <w:r>
              <w:rPr>
                <w:position w:val="6"/>
              </w:rPr>
              <w:t>2</w:t>
            </w:r>
            <w:r>
              <w:t>-ben)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C56049" w14:textId="77777777" w:rsidR="007A5465" w:rsidRDefault="007A5465" w:rsidP="00657B03">
            <w:pPr>
              <w:ind w:right="284"/>
              <w:jc w:val="right"/>
            </w:pPr>
            <w:r>
              <w:t>50 Ft/m</w:t>
            </w:r>
            <w:r>
              <w:rPr>
                <w:position w:val="10"/>
                <w:sz w:val="16"/>
              </w:rPr>
              <w:t>2</w:t>
            </w:r>
            <w:r>
              <w:t>/nap</w:t>
            </w:r>
          </w:p>
        </w:tc>
      </w:tr>
      <w:tr w:rsidR="007A5465" w14:paraId="5FF91674" w14:textId="77777777" w:rsidTr="00657B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4DF56FB7" w14:textId="77777777" w:rsidR="007A5465" w:rsidRDefault="007A5465" w:rsidP="00657B03">
            <w:pPr>
              <w:ind w:right="170"/>
              <w:jc w:val="right"/>
            </w:pPr>
            <w:r>
              <w:t>6.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</w:tcPr>
          <w:p w14:paraId="5BCBAB00" w14:textId="77777777" w:rsidR="007A5465" w:rsidRDefault="007A5465" w:rsidP="00657B03">
            <w:pPr>
              <w:ind w:left="237" w:hanging="237"/>
            </w:pPr>
            <w:r>
              <w:t>– Építési munkával kapcsolatos építőanyag- és törmeléktárolás, állványelhelyezés: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6C11F1" w14:textId="77777777" w:rsidR="007A5465" w:rsidRDefault="007A5465" w:rsidP="00657B03">
            <w:pPr>
              <w:ind w:right="284"/>
              <w:jc w:val="right"/>
            </w:pPr>
            <w:r>
              <w:br/>
              <w:t>10 Ft/m</w:t>
            </w:r>
            <w:r>
              <w:rPr>
                <w:position w:val="10"/>
                <w:sz w:val="16"/>
              </w:rPr>
              <w:t>2</w:t>
            </w:r>
            <w:r>
              <w:t>/hó</w:t>
            </w:r>
          </w:p>
        </w:tc>
      </w:tr>
      <w:tr w:rsidR="007A5465" w14:paraId="0605A594" w14:textId="77777777" w:rsidTr="00657B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71DF3A0D" w14:textId="77777777" w:rsidR="007A5465" w:rsidRDefault="007A5465" w:rsidP="00657B03">
            <w:pPr>
              <w:ind w:right="170"/>
              <w:jc w:val="right"/>
            </w:pP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</w:tcPr>
          <w:p w14:paraId="1BC303BB" w14:textId="77777777" w:rsidR="007A5465" w:rsidRDefault="007A5465" w:rsidP="00657B03">
            <w:r>
              <w:t>– 30 napon belül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72CBEA" w14:textId="77777777" w:rsidR="007A5465" w:rsidRDefault="007A5465" w:rsidP="00657B03">
            <w:pPr>
              <w:ind w:right="284"/>
              <w:jc w:val="right"/>
            </w:pPr>
            <w:r>
              <w:t>10 Ft/m</w:t>
            </w:r>
            <w:r>
              <w:rPr>
                <w:position w:val="10"/>
                <w:sz w:val="16"/>
              </w:rPr>
              <w:t>2</w:t>
            </w:r>
            <w:r>
              <w:t>/hó</w:t>
            </w:r>
          </w:p>
        </w:tc>
      </w:tr>
      <w:tr w:rsidR="007A5465" w14:paraId="581A53D3" w14:textId="77777777" w:rsidTr="00657B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21ADE2E1" w14:textId="77777777" w:rsidR="007A5465" w:rsidRDefault="007A5465" w:rsidP="00657B03">
            <w:pPr>
              <w:ind w:right="170"/>
              <w:jc w:val="right"/>
            </w:pP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</w:tcPr>
          <w:p w14:paraId="26E5897D" w14:textId="77777777" w:rsidR="007A5465" w:rsidRDefault="007A5465" w:rsidP="00657B03">
            <w:r>
              <w:t>– 6 hónapig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D83948" w14:textId="77777777" w:rsidR="007A5465" w:rsidRDefault="007A5465" w:rsidP="00657B03">
            <w:pPr>
              <w:ind w:right="284"/>
              <w:jc w:val="right"/>
            </w:pPr>
            <w:r>
              <w:t>15 Ft/m</w:t>
            </w:r>
            <w:r>
              <w:rPr>
                <w:position w:val="10"/>
                <w:sz w:val="16"/>
              </w:rPr>
              <w:t>2</w:t>
            </w:r>
            <w:r>
              <w:t>/hó</w:t>
            </w:r>
          </w:p>
        </w:tc>
      </w:tr>
      <w:tr w:rsidR="007A5465" w14:paraId="65AB836B" w14:textId="77777777" w:rsidTr="00657B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050EA93C" w14:textId="77777777" w:rsidR="007A5465" w:rsidRDefault="007A5465" w:rsidP="00657B03">
            <w:pPr>
              <w:ind w:right="170"/>
              <w:jc w:val="right"/>
            </w:pP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</w:tcPr>
          <w:p w14:paraId="1E7F25A3" w14:textId="77777777" w:rsidR="007A5465" w:rsidRDefault="007A5465" w:rsidP="00657B03">
            <w:r>
              <w:t>– 6 hónapon túl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D39298" w14:textId="77777777" w:rsidR="007A5465" w:rsidRDefault="007A5465" w:rsidP="00657B03">
            <w:pPr>
              <w:ind w:right="284"/>
              <w:jc w:val="right"/>
            </w:pPr>
            <w:r>
              <w:t>20 Ft/m</w:t>
            </w:r>
            <w:r>
              <w:rPr>
                <w:position w:val="10"/>
                <w:sz w:val="16"/>
              </w:rPr>
              <w:t>2</w:t>
            </w:r>
            <w:r>
              <w:t>/hó</w:t>
            </w:r>
          </w:p>
        </w:tc>
      </w:tr>
      <w:tr w:rsidR="007A5465" w14:paraId="5250F4D2" w14:textId="77777777" w:rsidTr="00657B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7FDD9488" w14:textId="77777777" w:rsidR="007A5465" w:rsidRDefault="007A5465" w:rsidP="00657B03">
            <w:pPr>
              <w:ind w:right="170"/>
              <w:jc w:val="right"/>
            </w:pP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</w:tcPr>
          <w:p w14:paraId="72981E7D" w14:textId="77777777" w:rsidR="007A5465" w:rsidRDefault="007A5465" w:rsidP="00657B03">
            <w:r>
              <w:t>– Egyéb esetekben: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D68FA1" w14:textId="77777777" w:rsidR="007A5465" w:rsidRDefault="007A5465" w:rsidP="00657B03">
            <w:pPr>
              <w:ind w:right="284"/>
              <w:jc w:val="right"/>
            </w:pPr>
            <w:r>
              <w:t>20 Ft/m</w:t>
            </w:r>
            <w:r>
              <w:rPr>
                <w:position w:val="10"/>
                <w:sz w:val="16"/>
              </w:rPr>
              <w:t>2</w:t>
            </w:r>
            <w:r>
              <w:t>/hó</w:t>
            </w:r>
          </w:p>
        </w:tc>
      </w:tr>
      <w:tr w:rsidR="007A5465" w14:paraId="2F36FD2D" w14:textId="77777777" w:rsidTr="00657B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06CCF442" w14:textId="77777777" w:rsidR="007A5465" w:rsidRDefault="007A5465" w:rsidP="00657B03">
            <w:pPr>
              <w:ind w:right="170"/>
              <w:jc w:val="right"/>
            </w:pPr>
            <w:r>
              <w:t>7.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</w:tcPr>
          <w:p w14:paraId="7FC344E4" w14:textId="77777777" w:rsidR="007A5465" w:rsidRDefault="007A5465" w:rsidP="00657B03">
            <w:r>
              <w:t>Alkalmi és mozgóárusítás: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36D286" w14:textId="77777777" w:rsidR="007A5465" w:rsidRDefault="007A5465" w:rsidP="00657B03">
            <w:pPr>
              <w:ind w:right="284"/>
              <w:jc w:val="right"/>
            </w:pPr>
            <w:r>
              <w:t xml:space="preserve"> 1000 Ft/óra</w:t>
            </w:r>
          </w:p>
        </w:tc>
      </w:tr>
      <w:tr w:rsidR="007A5465" w14:paraId="4CE9780F" w14:textId="77777777" w:rsidTr="00657B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6B9B7E6A" w14:textId="77777777" w:rsidR="007A5465" w:rsidRDefault="007A5465" w:rsidP="00657B03">
            <w:pPr>
              <w:ind w:right="170"/>
              <w:jc w:val="right"/>
            </w:pPr>
            <w:r>
              <w:t>8.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</w:tcPr>
          <w:p w14:paraId="474D9065" w14:textId="77777777" w:rsidR="007A5465" w:rsidRDefault="007A5465" w:rsidP="00657B03">
            <w:r>
              <w:t xml:space="preserve">– Vendéglátóipari előkert: 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959DF" w14:textId="77777777" w:rsidR="007A5465" w:rsidRDefault="007A5465" w:rsidP="00657B03">
            <w:pPr>
              <w:ind w:right="284"/>
              <w:jc w:val="right"/>
            </w:pPr>
            <w:r>
              <w:t xml:space="preserve"> 400 Ft/m</w:t>
            </w:r>
            <w:r>
              <w:rPr>
                <w:position w:val="10"/>
                <w:sz w:val="16"/>
              </w:rPr>
              <w:t>2</w:t>
            </w:r>
            <w:r>
              <w:t>/hó</w:t>
            </w:r>
          </w:p>
        </w:tc>
      </w:tr>
      <w:tr w:rsidR="007A5465" w14:paraId="52D63455" w14:textId="77777777" w:rsidTr="00657B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33AFAC32" w14:textId="77777777" w:rsidR="007A5465" w:rsidRDefault="007A5465" w:rsidP="00657B03">
            <w:pPr>
              <w:ind w:right="170"/>
              <w:jc w:val="right"/>
            </w:pP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</w:tcPr>
          <w:p w14:paraId="756DBE59" w14:textId="77777777" w:rsidR="007A5465" w:rsidRDefault="007A5465" w:rsidP="00657B03">
            <w:r>
              <w:t>– Üzleti szállítás vagy rakodás alkalmával göngyölegek elhelyezése, árukirakodás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2C416A" w14:textId="77777777" w:rsidR="007A5465" w:rsidRDefault="007A5465" w:rsidP="00657B03">
            <w:pPr>
              <w:ind w:right="284"/>
              <w:jc w:val="right"/>
            </w:pPr>
            <w:r>
              <w:br/>
              <w:t>200 Ft/m</w:t>
            </w:r>
            <w:r>
              <w:rPr>
                <w:position w:val="10"/>
                <w:sz w:val="16"/>
              </w:rPr>
              <w:t>2</w:t>
            </w:r>
            <w:r>
              <w:t>/év</w:t>
            </w:r>
          </w:p>
        </w:tc>
      </w:tr>
      <w:tr w:rsidR="007A5465" w14:paraId="648956F1" w14:textId="77777777" w:rsidTr="00657B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7EA27CE3" w14:textId="77777777" w:rsidR="007A5465" w:rsidRDefault="007A5465" w:rsidP="00657B03">
            <w:pPr>
              <w:ind w:right="170"/>
              <w:jc w:val="right"/>
            </w:pPr>
            <w:r>
              <w:t>9.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</w:tcPr>
          <w:p w14:paraId="3A9E12C4" w14:textId="77777777" w:rsidR="007A5465" w:rsidRDefault="007A5465" w:rsidP="00657B03">
            <w:r>
              <w:t xml:space="preserve">– Kiállítás 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42BE3F" w14:textId="77777777" w:rsidR="007A5465" w:rsidRDefault="007A5465" w:rsidP="00657B03">
            <w:pPr>
              <w:ind w:right="284"/>
              <w:jc w:val="right"/>
            </w:pPr>
            <w:r>
              <w:t xml:space="preserve"> 200 Ft/m</w:t>
            </w:r>
            <w:r>
              <w:rPr>
                <w:position w:val="10"/>
                <w:sz w:val="16"/>
              </w:rPr>
              <w:t>2</w:t>
            </w:r>
            <w:r>
              <w:t>/nap</w:t>
            </w:r>
          </w:p>
        </w:tc>
      </w:tr>
      <w:tr w:rsidR="007A5465" w14:paraId="7E4FE02C" w14:textId="77777777" w:rsidTr="00657B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03D95683" w14:textId="77777777" w:rsidR="007A5465" w:rsidRDefault="007A5465" w:rsidP="00657B03">
            <w:pPr>
              <w:ind w:right="170"/>
              <w:jc w:val="right"/>
            </w:pP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</w:tcPr>
          <w:p w14:paraId="43D895D7" w14:textId="77777777" w:rsidR="007A5465" w:rsidRDefault="007A5465" w:rsidP="00657B03">
            <w:r>
              <w:t xml:space="preserve">–    Alkalmi vásár 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F9200F" w14:textId="77777777" w:rsidR="007A5465" w:rsidRDefault="007A5465" w:rsidP="00657B03">
            <w:pPr>
              <w:ind w:right="284"/>
              <w:jc w:val="right"/>
            </w:pPr>
            <w:r>
              <w:t xml:space="preserve"> 100 Ft/m2/nap</w:t>
            </w:r>
          </w:p>
        </w:tc>
      </w:tr>
      <w:tr w:rsidR="007A5465" w14:paraId="6F926482" w14:textId="77777777" w:rsidTr="00657B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5957FA6F" w14:textId="77777777" w:rsidR="007A5465" w:rsidRDefault="007A5465" w:rsidP="00657B03">
            <w:pPr>
              <w:ind w:right="170"/>
              <w:jc w:val="right"/>
            </w:pP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</w:tcPr>
          <w:p w14:paraId="1F2F574F" w14:textId="77777777" w:rsidR="007A5465" w:rsidRDefault="007A5465" w:rsidP="00657B03">
            <w:r>
              <w:t>– Rendezvények, a nem bevételes kulturális rendezvények kivételével: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352326" w14:textId="77777777" w:rsidR="007A5465" w:rsidRDefault="007A5465" w:rsidP="00657B03">
            <w:pPr>
              <w:ind w:right="284"/>
              <w:jc w:val="right"/>
            </w:pPr>
            <w:r>
              <w:br/>
              <w:t>10 Ft/m</w:t>
            </w:r>
            <w:r>
              <w:rPr>
                <w:position w:val="10"/>
                <w:sz w:val="16"/>
              </w:rPr>
              <w:t>2</w:t>
            </w:r>
            <w:r>
              <w:t xml:space="preserve">/nap </w:t>
            </w:r>
          </w:p>
        </w:tc>
      </w:tr>
      <w:tr w:rsidR="007A5465" w14:paraId="543C1749" w14:textId="77777777" w:rsidTr="00657B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5E26CB3B" w14:textId="77777777" w:rsidR="007A5465" w:rsidRDefault="007A5465" w:rsidP="00657B03">
            <w:pPr>
              <w:ind w:right="170"/>
              <w:jc w:val="right"/>
            </w:pPr>
            <w:r>
              <w:t>10.</w:t>
            </w:r>
          </w:p>
        </w:tc>
        <w:tc>
          <w:tcPr>
            <w:tcW w:w="5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4F87F4" w14:textId="77777777" w:rsidR="007A5465" w:rsidRDefault="007A5465" w:rsidP="00657B03">
            <w:r>
              <w:t>Közhasználatra még át nem adott közterületek ideiglenes használata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31F563C" w14:textId="77777777" w:rsidR="007A5465" w:rsidRDefault="007A5465" w:rsidP="00657B03">
            <w:pPr>
              <w:ind w:right="284"/>
              <w:jc w:val="right"/>
            </w:pPr>
            <w:r>
              <w:br/>
              <w:t>10 Ft/m</w:t>
            </w:r>
            <w:r>
              <w:rPr>
                <w:position w:val="10"/>
                <w:sz w:val="16"/>
              </w:rPr>
              <w:t>2</w:t>
            </w:r>
            <w:r>
              <w:t>/nap</w:t>
            </w:r>
          </w:p>
        </w:tc>
      </w:tr>
      <w:tr w:rsidR="007A5465" w:rsidRPr="00CA70FA" w14:paraId="0A905DC3" w14:textId="77777777" w:rsidTr="00657B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20561D0B" w14:textId="77777777" w:rsidR="007A5465" w:rsidRPr="00CA70FA" w:rsidRDefault="007A5465" w:rsidP="00657B03">
            <w:pPr>
              <w:ind w:right="170"/>
              <w:jc w:val="right"/>
            </w:pPr>
            <w:r w:rsidRPr="00CA70FA">
              <w:t>11.</w:t>
            </w:r>
          </w:p>
        </w:tc>
        <w:tc>
          <w:tcPr>
            <w:tcW w:w="5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A4FA73" w14:textId="77777777" w:rsidR="007A5465" w:rsidRPr="00CA70FA" w:rsidRDefault="007A5465" w:rsidP="00657B03">
            <w:r w:rsidRPr="00CA70FA">
              <w:t>Filmalkotás forgatása</w:t>
            </w:r>
          </w:p>
          <w:p w14:paraId="2E28E43F" w14:textId="77777777" w:rsidR="007A5465" w:rsidRPr="00CA70FA" w:rsidRDefault="007A5465" w:rsidP="007A5465">
            <w:pPr>
              <w:keepLines w:val="0"/>
              <w:widowControl w:val="0"/>
              <w:numPr>
                <w:ilvl w:val="0"/>
                <w:numId w:val="4"/>
              </w:numPr>
              <w:tabs>
                <w:tab w:val="left" w:pos="1287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A70FA">
              <w:t>forgatási helyszín</w:t>
            </w:r>
          </w:p>
          <w:p w14:paraId="71C90FE3" w14:textId="77777777" w:rsidR="007A5465" w:rsidRPr="00CA70FA" w:rsidRDefault="007A5465" w:rsidP="007A5465">
            <w:pPr>
              <w:keepLines w:val="0"/>
              <w:widowControl w:val="0"/>
              <w:numPr>
                <w:ilvl w:val="0"/>
                <w:numId w:val="4"/>
              </w:numPr>
              <w:tabs>
                <w:tab w:val="left" w:pos="1287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A70FA">
              <w:t>technikai kiszolgálás</w:t>
            </w:r>
          </w:p>
          <w:p w14:paraId="497370D9" w14:textId="77777777" w:rsidR="007A5465" w:rsidRPr="00CA70FA" w:rsidRDefault="007A5465" w:rsidP="007A5465">
            <w:pPr>
              <w:keepLines w:val="0"/>
              <w:widowControl w:val="0"/>
              <w:numPr>
                <w:ilvl w:val="0"/>
                <w:numId w:val="4"/>
              </w:numPr>
              <w:tabs>
                <w:tab w:val="left" w:pos="1287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A70FA">
              <w:t>stáb parkolás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CBD188F" w14:textId="77777777" w:rsidR="007A5465" w:rsidRPr="00CA70FA" w:rsidRDefault="007A5465" w:rsidP="00657B03">
            <w:pPr>
              <w:ind w:right="284"/>
              <w:jc w:val="right"/>
            </w:pPr>
          </w:p>
          <w:p w14:paraId="2D641D16" w14:textId="77777777" w:rsidR="007A5465" w:rsidRPr="00CA70FA" w:rsidRDefault="007A5465" w:rsidP="00657B03">
            <w:pPr>
              <w:ind w:right="284"/>
              <w:jc w:val="right"/>
            </w:pPr>
            <w:r w:rsidRPr="00CA70FA">
              <w:t>50,- Ft./m</w:t>
            </w:r>
            <w:r w:rsidRPr="00CA70FA">
              <w:rPr>
                <w:vertAlign w:val="superscript"/>
              </w:rPr>
              <w:t>2</w:t>
            </w:r>
            <w:r w:rsidRPr="00CA70FA">
              <w:t>/nap</w:t>
            </w:r>
          </w:p>
          <w:p w14:paraId="74BCA7A3" w14:textId="77777777" w:rsidR="007A5465" w:rsidRPr="00CA70FA" w:rsidRDefault="007A5465" w:rsidP="00657B03">
            <w:pPr>
              <w:ind w:right="284"/>
              <w:jc w:val="right"/>
            </w:pPr>
            <w:r w:rsidRPr="00CA70FA">
              <w:t>20,- Ft./m</w:t>
            </w:r>
            <w:r w:rsidRPr="00CA70FA">
              <w:rPr>
                <w:vertAlign w:val="superscript"/>
              </w:rPr>
              <w:t>2</w:t>
            </w:r>
            <w:r w:rsidRPr="00CA70FA">
              <w:t>/nap</w:t>
            </w:r>
          </w:p>
          <w:p w14:paraId="0477FF78" w14:textId="77777777" w:rsidR="007A5465" w:rsidRPr="00CA70FA" w:rsidRDefault="007A5465" w:rsidP="00657B03">
            <w:pPr>
              <w:ind w:right="284"/>
              <w:jc w:val="right"/>
            </w:pPr>
            <w:r w:rsidRPr="00CA70FA">
              <w:t>20,- Ft./m</w:t>
            </w:r>
            <w:r w:rsidRPr="00CA70FA">
              <w:rPr>
                <w:vertAlign w:val="superscript"/>
              </w:rPr>
              <w:t>2</w:t>
            </w:r>
            <w:r w:rsidRPr="00CA70FA">
              <w:t>/nap</w:t>
            </w:r>
          </w:p>
        </w:tc>
      </w:tr>
      <w:tr w:rsidR="007A5465" w14:paraId="566FCAF5" w14:textId="77777777" w:rsidTr="00657B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5F69BA09" w14:textId="77777777" w:rsidR="007A5465" w:rsidRDefault="007A5465" w:rsidP="00657B03">
            <w:pPr>
              <w:ind w:right="170"/>
              <w:jc w:val="right"/>
            </w:pPr>
            <w:r>
              <w:t>12.</w:t>
            </w:r>
          </w:p>
        </w:tc>
        <w:tc>
          <w:tcPr>
            <w:tcW w:w="5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12CDF2" w14:textId="77777777" w:rsidR="007A5465" w:rsidRDefault="007A5465" w:rsidP="00657B03">
            <w:r>
              <w:t>Egyéb: a díj mértékét – a fentiek figyelembevételével – esetenként kell megállapítani.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4A73C595" w14:textId="77777777" w:rsidR="007A5465" w:rsidRDefault="007A5465" w:rsidP="00657B03">
            <w:pPr>
              <w:ind w:right="284"/>
              <w:jc w:val="right"/>
            </w:pPr>
          </w:p>
        </w:tc>
      </w:tr>
    </w:tbl>
    <w:p w14:paraId="5AA88306" w14:textId="77777777" w:rsidR="00896F7E" w:rsidRPr="008C3E33" w:rsidRDefault="00896F7E" w:rsidP="008C3E33"/>
    <w:sectPr w:rsidR="00896F7E" w:rsidRPr="008C3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C66F0A" w14:textId="77777777" w:rsidR="008A26A6" w:rsidRDefault="008A26A6" w:rsidP="006E018C">
      <w:r>
        <w:separator/>
      </w:r>
    </w:p>
  </w:endnote>
  <w:endnote w:type="continuationSeparator" w:id="0">
    <w:p w14:paraId="2BD20706" w14:textId="77777777" w:rsidR="008A26A6" w:rsidRDefault="008A26A6" w:rsidP="006E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-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07F4E2" w14:textId="77777777" w:rsidR="008A26A6" w:rsidRDefault="008A26A6" w:rsidP="006E018C">
      <w:r>
        <w:separator/>
      </w:r>
    </w:p>
  </w:footnote>
  <w:footnote w:type="continuationSeparator" w:id="0">
    <w:p w14:paraId="5078C776" w14:textId="77777777" w:rsidR="008A26A6" w:rsidRDefault="008A26A6" w:rsidP="006E0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9BBA9C0C"/>
    <w:lvl w:ilvl="0">
      <w:numFmt w:val="bullet"/>
      <w:lvlText w:val="*"/>
      <w:lvlJc w:val="left"/>
    </w:lvl>
  </w:abstractNum>
  <w:abstractNum w:abstractNumId="1" w15:restartNumberingAfterBreak="0">
    <w:nsid w:val="3300413D"/>
    <w:multiLevelType w:val="singleLevel"/>
    <w:tmpl w:val="1F5428A6"/>
    <w:lvl w:ilvl="0">
      <w:start w:val="1"/>
      <w:numFmt w:val="lowerLetter"/>
      <w:lvlText w:val="%1)"/>
      <w:legacy w:legacy="1" w:legacySpace="0" w:legacyIndent="644"/>
      <w:lvlJc w:val="left"/>
      <w:pPr>
        <w:ind w:left="928" w:hanging="644"/>
      </w:pPr>
      <w:rPr>
        <w:i/>
      </w:rPr>
    </w:lvl>
  </w:abstractNum>
  <w:abstractNum w:abstractNumId="2" w15:restartNumberingAfterBreak="0">
    <w:nsid w:val="544363F0"/>
    <w:multiLevelType w:val="singleLevel"/>
    <w:tmpl w:val="928225F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6B904306"/>
    <w:multiLevelType w:val="singleLevel"/>
    <w:tmpl w:val="928225F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2"/>
        <w:numFmt w:val="bullet"/>
        <w:lvlText w:val="-"/>
        <w:legacy w:legacy="1" w:legacySpace="120" w:legacyIndent="360"/>
        <w:lvlJc w:val="left"/>
        <w:pPr>
          <w:ind w:left="1287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E8E"/>
    <w:rsid w:val="006E018C"/>
    <w:rsid w:val="007A5465"/>
    <w:rsid w:val="00896F7E"/>
    <w:rsid w:val="008A26A6"/>
    <w:rsid w:val="008C3E33"/>
    <w:rsid w:val="00B74E8E"/>
    <w:rsid w:val="00C85D6C"/>
    <w:rsid w:val="00FD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A582"/>
  <w15:chartTrackingRefBased/>
  <w15:docId w15:val="{D3CC4C0B-347F-4900-8253-654252E3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018C"/>
    <w:pPr>
      <w:keepLines/>
      <w:spacing w:after="0" w:line="240" w:lineRule="auto"/>
      <w:jc w:val="both"/>
    </w:pPr>
    <w:rPr>
      <w:rFonts w:ascii="H-Times-Roman" w:eastAsia="Times New Roman" w:hAnsi="H-Times-Roman" w:cs="Times New Roman"/>
      <w:sz w:val="24"/>
      <w:szCs w:val="20"/>
      <w:lang w:val="da-DK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6E018C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6E018C"/>
    <w:rPr>
      <w:rFonts w:ascii="H-Times-Roman" w:eastAsia="Times New Roman" w:hAnsi="H-Times-Roman" w:cs="Times New Roman"/>
      <w:sz w:val="20"/>
      <w:szCs w:val="20"/>
      <w:lang w:val="da-DK" w:eastAsia="hu-HU"/>
    </w:rPr>
  </w:style>
  <w:style w:type="character" w:styleId="Lbjegyzet-hivatkozs">
    <w:name w:val="footnote reference"/>
    <w:basedOn w:val="Bekezdsalapbettpusa"/>
    <w:semiHidden/>
    <w:rsid w:val="006E018C"/>
    <w:rPr>
      <w:vertAlign w:val="superscript"/>
    </w:rPr>
  </w:style>
  <w:style w:type="paragraph" w:customStyle="1" w:styleId="CharCharCharChar">
    <w:name w:val="Char Char Char Char"/>
    <w:basedOn w:val="Norml"/>
    <w:rsid w:val="00FD2591"/>
    <w:pPr>
      <w:keepLines w:val="0"/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customStyle="1" w:styleId="Char">
    <w:name w:val=" Char"/>
    <w:basedOn w:val="Norml"/>
    <w:rsid w:val="008C3E33"/>
    <w:pPr>
      <w:keepLines w:val="0"/>
      <w:spacing w:before="120" w:afterLines="50" w:after="160" w:line="240" w:lineRule="exact"/>
      <w:ind w:left="180"/>
      <w:jc w:val="left"/>
    </w:pPr>
    <w:rPr>
      <w:rFonts w:ascii="Verdana" w:hAnsi="Verdana" w:cs="Verdana"/>
      <w:noProof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2020-08-06T10:53:00Z</dcterms:created>
  <dcterms:modified xsi:type="dcterms:W3CDTF">2020-08-06T10:53:00Z</dcterms:modified>
</cp:coreProperties>
</file>