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79DA" w:rsidRDefault="001F79DA" w:rsidP="00CE3BE4">
      <w:pPr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1F79DA" w:rsidRDefault="001F79DA" w:rsidP="00CE3BE4">
      <w:pPr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1F79DA" w:rsidRDefault="001F79DA" w:rsidP="00CE3BE4">
      <w:pPr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1F79DA" w:rsidRPr="00646A73" w:rsidRDefault="001F79DA" w:rsidP="001F79DA">
      <w:pPr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46A73">
        <w:rPr>
          <w:rFonts w:ascii="Times" w:hAnsi="Times" w:cs="Times"/>
          <w:color w:val="000000"/>
          <w:sz w:val="24"/>
          <w:szCs w:val="24"/>
        </w:rPr>
        <w:t xml:space="preserve">A jogalkotásról szóló 2010. évi CXXX. törvény. 18. § (1) bekezdése szerint „A jogszabály tervezetéhez a jogszabály előkészítője indokolást csatol, amelyben bemutatja azokat a társadalmi, gazdasági, szakmai okokat és célokat, amelyek a javasolt szabályozást szükségessé teszik, továbbá ismerteti a jogi szabályozás várható hatásait, és az álláspontját az indokolás közzétételéről.” </w:t>
      </w:r>
      <w:r w:rsidRPr="00646A73">
        <w:rPr>
          <w:rFonts w:ascii="Times New Roman" w:hAnsi="Times New Roman" w:cs="Times New Roman"/>
          <w:sz w:val="24"/>
          <w:szCs w:val="24"/>
        </w:rPr>
        <w:t>A Jat. felhívott rendelkezésére tekintettel a jogszabály tervezet szabályozási indokai az alábbiak</w:t>
      </w:r>
      <w:r w:rsidR="00C41FFC" w:rsidRPr="00646A73">
        <w:rPr>
          <w:rFonts w:ascii="Times New Roman" w:hAnsi="Times New Roman" w:cs="Times New Roman"/>
          <w:sz w:val="24"/>
          <w:szCs w:val="24"/>
        </w:rPr>
        <w:t>:</w:t>
      </w:r>
    </w:p>
    <w:p w:rsidR="001F79DA" w:rsidRDefault="001F79DA" w:rsidP="00CE3BE4">
      <w:pPr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727BE" w:rsidRDefault="00CE3BE4" w:rsidP="00CE3BE4">
      <w:pPr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 w:rsidRPr="00F051EB">
        <w:rPr>
          <w:rFonts w:ascii="Times New Roman" w:hAnsi="Times New Roman" w:cs="Times New Roman"/>
          <w:b/>
          <w:bCs/>
          <w:sz w:val="24"/>
          <w:szCs w:val="24"/>
        </w:rPr>
        <w:t>Indokolás</w:t>
      </w:r>
    </w:p>
    <w:p w:rsidR="00F4678D" w:rsidRDefault="00F4678D" w:rsidP="00CE3BE4">
      <w:pPr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F4678D" w:rsidRDefault="00F4678D" w:rsidP="00F4678D">
      <w:pPr>
        <w:ind w:left="0"/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</w:pPr>
      <w:r w:rsidRPr="00F4678D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 xml:space="preserve">Járdánháza Község Önkormányzat Képviselő-testületének </w:t>
      </w:r>
      <w:r w:rsidR="00CA643C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6</w:t>
      </w:r>
      <w:r w:rsidRPr="00F4678D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/201</w:t>
      </w:r>
      <w:r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9.</w:t>
      </w:r>
      <w:r w:rsidRPr="00F4678D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(</w:t>
      </w:r>
      <w:r w:rsidR="00CA643C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XI</w:t>
      </w:r>
      <w:r w:rsidRPr="00F4678D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.</w:t>
      </w:r>
      <w:r w:rsidR="00CA643C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29</w:t>
      </w:r>
      <w:r w:rsidRPr="00F4678D"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.) önkormányzati rendele</w:t>
      </w:r>
      <w:r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  <w:t>te</w:t>
      </w:r>
    </w:p>
    <w:p w:rsidR="001042D0" w:rsidRPr="00F4678D" w:rsidRDefault="001042D0" w:rsidP="00F4678D">
      <w:pPr>
        <w:ind w:left="0"/>
        <w:rPr>
          <w:rFonts w:ascii="Times" w:eastAsia="Times New Roman" w:hAnsi="Times" w:cs="Times"/>
          <w:b/>
          <w:bCs/>
          <w:color w:val="000000"/>
          <w:sz w:val="24"/>
          <w:szCs w:val="24"/>
          <w:lang w:eastAsia="hu-HU"/>
        </w:rPr>
      </w:pPr>
    </w:p>
    <w:p w:rsidR="00CA643C" w:rsidRPr="00CA643C" w:rsidRDefault="00CA643C" w:rsidP="00CA643C">
      <w:pPr>
        <w:spacing w:line="360" w:lineRule="auto"/>
        <w:ind w:left="0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CA643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a helyi önkormányzati képviselők és bizottsági tagok tiszteletdíjáról </w:t>
      </w:r>
    </w:p>
    <w:p w:rsidR="00F4678D" w:rsidRDefault="00F4678D" w:rsidP="00CE3BE4">
      <w:pPr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:rsidR="001042D0" w:rsidRDefault="001042D0" w:rsidP="00CE3BE4">
      <w:pPr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CA643C" w:rsidRPr="00CA643C" w:rsidRDefault="00CA643C" w:rsidP="00CA643C">
      <w:pPr>
        <w:spacing w:line="360" w:lineRule="auto"/>
        <w:ind w:left="0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CA643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Általános indokolás</w:t>
      </w:r>
    </w:p>
    <w:p w:rsidR="00CA643C" w:rsidRPr="00CA643C" w:rsidRDefault="00CA643C" w:rsidP="00CA643C">
      <w:pPr>
        <w:spacing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A643C" w:rsidRPr="00CA643C" w:rsidRDefault="00CA643C" w:rsidP="00CA643C">
      <w:pPr>
        <w:spacing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A643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Magyarország helyi önkormányzatairól szóló 2011. évi CLXXXIX. törvény (Mötv.) 35. § (1) bekezdése szerint a képviselő-testület az önkormányzati képviselőnek, a bizottsági elnöknek, a bizottság tagjának, a tanácsnoknak rendeletében meghatározott tiszteletdíjat, természetbeni juttatást állapíthat meg. A (2) bekezdés </w:t>
      </w:r>
      <w:r w:rsidRPr="00CA643C">
        <w:rPr>
          <w:rFonts w:ascii="Times New Roman" w:eastAsia="Times New Roman" w:hAnsi="Times New Roman" w:cs="Times New Roman"/>
          <w:sz w:val="24"/>
          <w:szCs w:val="24"/>
          <w:lang w:eastAsia="hu-HU"/>
        </w:rPr>
        <w:t>alapján,</w:t>
      </w:r>
      <w:r w:rsidRPr="00CA643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ha az önkormányzati képviselő tanácsnok, önkormányzati bizottság elnöke vagy tagja, számára magasabb összegű tiszteletdíj is megállapítható. Az önkormányzati képviselő számára történő tiszteletdíj megállapítása nem veszélyeztetheti az önkormányzat kötelező feladatai ellátását.</w:t>
      </w:r>
    </w:p>
    <w:p w:rsidR="00CA643C" w:rsidRPr="00CA643C" w:rsidRDefault="00CA643C" w:rsidP="00CA643C">
      <w:pPr>
        <w:spacing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A643C" w:rsidRPr="00CA643C" w:rsidRDefault="00CA643C" w:rsidP="00CA643C">
      <w:pPr>
        <w:spacing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A643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Ör. felülvizsgálata során megállapítást nyert, hogy annak bevezető részében a hivatkozott jogszabályok aktualizálása szükséges, ezért indokoltnak tartjuk az Ör. hatályon kívül helyezését és új, a jogszabályokkal összhangban lévő önkormányzati rendelet megalkotását. Ennek megfelelően teszek javaslatot a tiszteletdíjakról szóló önkormányzati rendelet megalkotására a Képviselő-testületnek azzal, hogy a korábban elfogadott tiszteletdíjak mértéke változatlan marad. </w:t>
      </w:r>
    </w:p>
    <w:p w:rsidR="00CA643C" w:rsidRPr="00CA643C" w:rsidRDefault="00CA643C" w:rsidP="00CA643C">
      <w:pPr>
        <w:spacing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A643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távollétre vonatkozó szabályokat a Szervezeti és Működési Szabályzat tartalmazza, mely szintén a novemberi soron következő ülésen kerül önálló napirendi pontként tárgyalásra. </w:t>
      </w:r>
    </w:p>
    <w:p w:rsidR="00CA643C" w:rsidRDefault="00CA643C" w:rsidP="00CA643C">
      <w:pPr>
        <w:ind w:left="0"/>
        <w:jc w:val="left"/>
        <w:rPr>
          <w:rFonts w:ascii="Arial" w:eastAsia="Times New Roman" w:hAnsi="Arial" w:cs="Arial"/>
          <w:sz w:val="24"/>
          <w:szCs w:val="24"/>
          <w:lang w:eastAsia="hu-HU"/>
        </w:rPr>
      </w:pPr>
    </w:p>
    <w:p w:rsidR="00CA643C" w:rsidRDefault="00CA643C" w:rsidP="00CA643C">
      <w:pPr>
        <w:ind w:left="0"/>
        <w:jc w:val="left"/>
        <w:rPr>
          <w:rFonts w:ascii="Arial" w:eastAsia="Times New Roman" w:hAnsi="Arial" w:cs="Arial"/>
          <w:sz w:val="24"/>
          <w:szCs w:val="24"/>
          <w:lang w:eastAsia="hu-HU"/>
        </w:rPr>
      </w:pPr>
    </w:p>
    <w:p w:rsidR="00CA643C" w:rsidRDefault="00CA643C" w:rsidP="00CA643C">
      <w:pPr>
        <w:ind w:left="0"/>
        <w:jc w:val="left"/>
        <w:rPr>
          <w:rFonts w:ascii="Arial" w:eastAsia="Times New Roman" w:hAnsi="Arial" w:cs="Arial"/>
          <w:sz w:val="24"/>
          <w:szCs w:val="24"/>
          <w:lang w:eastAsia="hu-HU"/>
        </w:rPr>
      </w:pPr>
    </w:p>
    <w:p w:rsidR="00CA643C" w:rsidRPr="00CA643C" w:rsidRDefault="00CA643C" w:rsidP="00CA643C">
      <w:pPr>
        <w:ind w:left="0"/>
        <w:jc w:val="left"/>
        <w:rPr>
          <w:rFonts w:ascii="Arial" w:eastAsia="Times New Roman" w:hAnsi="Arial" w:cs="Arial"/>
          <w:sz w:val="24"/>
          <w:szCs w:val="24"/>
          <w:lang w:eastAsia="hu-HU"/>
        </w:rPr>
      </w:pPr>
    </w:p>
    <w:p w:rsidR="00CA643C" w:rsidRPr="00CA643C" w:rsidRDefault="00CA643C" w:rsidP="00CA643C">
      <w:pPr>
        <w:spacing w:line="360" w:lineRule="auto"/>
        <w:ind w:left="0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CA643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lastRenderedPageBreak/>
        <w:t>Részletes indokolás</w:t>
      </w:r>
    </w:p>
    <w:p w:rsidR="00CA643C" w:rsidRPr="00CA643C" w:rsidRDefault="00CA643C" w:rsidP="00CA643C">
      <w:pPr>
        <w:spacing w:line="360" w:lineRule="auto"/>
        <w:ind w:left="0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CA643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1. § -hoz</w:t>
      </w:r>
    </w:p>
    <w:p w:rsidR="00CA643C" w:rsidRPr="00CA643C" w:rsidRDefault="00CA643C" w:rsidP="00CA643C">
      <w:pPr>
        <w:spacing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A643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(1) bekezdés helyi önkormányzati képviselők, a (2) bekezdés a bizottsági tagok, a (3) bekezdés a bizottsági elnök tiszteletdíjának mértékét határozza meg.  </w:t>
      </w:r>
    </w:p>
    <w:p w:rsidR="00CA643C" w:rsidRPr="00CA643C" w:rsidRDefault="00CA643C" w:rsidP="00CA643C">
      <w:pPr>
        <w:spacing w:line="360" w:lineRule="auto"/>
        <w:ind w:left="0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CA643C" w:rsidRPr="00CA643C" w:rsidRDefault="00CA643C" w:rsidP="00CA643C">
      <w:pPr>
        <w:spacing w:line="360" w:lineRule="auto"/>
        <w:ind w:left="0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CA643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2. § -hoz</w:t>
      </w:r>
    </w:p>
    <w:p w:rsidR="00CA643C" w:rsidRPr="00CA643C" w:rsidRDefault="00CA643C" w:rsidP="00CA643C">
      <w:pPr>
        <w:spacing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A643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Rendelkezik arról, hogy a tiszteletdíj mérséklésére vonatkozó előírásokat Járdánháza Község Önkormányzata Képviselő-testületének Szervezeti és Működési Szabályzata tartalmazza. </w:t>
      </w:r>
    </w:p>
    <w:p w:rsidR="00CA643C" w:rsidRPr="00CA643C" w:rsidRDefault="00CA643C" w:rsidP="00CA643C">
      <w:pPr>
        <w:spacing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CA643C" w:rsidRPr="00CA643C" w:rsidRDefault="00CA643C" w:rsidP="00CA643C">
      <w:pPr>
        <w:spacing w:line="360" w:lineRule="auto"/>
        <w:ind w:left="0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CA643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3. § -hoz</w:t>
      </w:r>
    </w:p>
    <w:p w:rsidR="00CA643C" w:rsidRPr="00CA643C" w:rsidRDefault="00CA643C" w:rsidP="00CA643C">
      <w:pPr>
        <w:spacing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A643C">
        <w:rPr>
          <w:rFonts w:ascii="Times New Roman" w:eastAsia="Times New Roman" w:hAnsi="Times New Roman" w:cs="Times New Roman"/>
          <w:sz w:val="24"/>
          <w:szCs w:val="24"/>
          <w:lang w:eastAsia="hu-HU"/>
        </w:rPr>
        <w:t>Az (1) bekezdés önkormányzati rendelet hatálybalépéséről rendelkezik.</w:t>
      </w:r>
    </w:p>
    <w:p w:rsidR="00CA643C" w:rsidRPr="00CA643C" w:rsidRDefault="00CA643C" w:rsidP="00CA643C">
      <w:pPr>
        <w:spacing w:line="36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CA643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(2) bekezdés a </w:t>
      </w:r>
      <w:r w:rsidRPr="00CA643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helyi önkormányzati képviselők, a bizottsági elnökök és bizottsági tagok tiszteletdíjáról szóló 3</w:t>
      </w:r>
      <w:r w:rsidRPr="00CA643C">
        <w:rPr>
          <w:rFonts w:ascii="Times New Roman" w:eastAsia="Times New Roman" w:hAnsi="Times New Roman" w:cs="Times New Roman"/>
          <w:sz w:val="24"/>
          <w:szCs w:val="24"/>
          <w:lang w:eastAsia="hu-HU"/>
        </w:rPr>
        <w:t>/2012.(II.29.) önkormányzati rendelet hatályon kívül helyezéséről rend</w:t>
      </w:r>
      <w:bookmarkStart w:id="0" w:name="_GoBack"/>
      <w:bookmarkEnd w:id="0"/>
      <w:r w:rsidRPr="00CA643C">
        <w:rPr>
          <w:rFonts w:ascii="Times New Roman" w:eastAsia="Times New Roman" w:hAnsi="Times New Roman" w:cs="Times New Roman"/>
          <w:sz w:val="24"/>
          <w:szCs w:val="24"/>
          <w:lang w:eastAsia="hu-HU"/>
        </w:rPr>
        <w:t>elkezik.</w:t>
      </w:r>
    </w:p>
    <w:p w:rsidR="00CA643C" w:rsidRPr="00CA643C" w:rsidRDefault="00CA643C" w:rsidP="00CA643C">
      <w:pPr>
        <w:autoSpaceDN w:val="0"/>
        <w:adjustRightInd w:val="0"/>
        <w:spacing w:line="360" w:lineRule="auto"/>
        <w:ind w:left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u-HU"/>
        </w:rPr>
      </w:pPr>
    </w:p>
    <w:p w:rsidR="00F051EB" w:rsidRPr="00F051EB" w:rsidRDefault="00F051EB" w:rsidP="00F051EB">
      <w:pPr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F051EB">
        <w:rPr>
          <w:rFonts w:ascii="Times New Roman" w:eastAsia="Times New Roman" w:hAnsi="Times New Roman" w:cs="Times New Roman"/>
          <w:sz w:val="24"/>
          <w:szCs w:val="24"/>
          <w:lang w:eastAsia="hu-HU"/>
        </w:rPr>
        <w:t>A rendelet megalkotása a Mötv. 50. §-a alapján minősített többséget igényel.</w:t>
      </w:r>
      <w:r w:rsidRPr="00F051E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</w:p>
    <w:sectPr w:rsidR="00F051EB" w:rsidRPr="00F051EB" w:rsidSect="00C41FFC">
      <w:footerReference w:type="default" r:id="rId6"/>
      <w:headerReference w:type="first" r:id="rId7"/>
      <w:footerReference w:type="first" r:id="rId8"/>
      <w:pgSz w:w="11906" w:h="16838"/>
      <w:pgMar w:top="1418" w:right="1417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7029" w:rsidRDefault="00C87029" w:rsidP="001F79DA">
      <w:r>
        <w:separator/>
      </w:r>
    </w:p>
  </w:endnote>
  <w:endnote w:type="continuationSeparator" w:id="0">
    <w:p w:rsidR="00C87029" w:rsidRDefault="00C87029" w:rsidP="001F7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1638548"/>
      <w:docPartObj>
        <w:docPartGallery w:val="Page Numbers (Bottom of Page)"/>
        <w:docPartUnique/>
      </w:docPartObj>
    </w:sdtPr>
    <w:sdtEndPr/>
    <w:sdtContent>
      <w:p w:rsidR="00C41FFC" w:rsidRDefault="00C41FFC">
        <w:pPr>
          <w:pStyle w:val="llb"/>
          <w:jc w:val="right"/>
        </w:pPr>
        <w:r w:rsidRPr="00C41FF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41FF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41FF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C41FFC">
          <w:rPr>
            <w:rFonts w:ascii="Times New Roman" w:hAnsi="Times New Roman" w:cs="Times New Roman"/>
            <w:sz w:val="24"/>
            <w:szCs w:val="24"/>
          </w:rPr>
          <w:t>2</w:t>
        </w:r>
        <w:r w:rsidRPr="00C41FF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1F79DA" w:rsidRDefault="00C41FFC">
    <w:pPr>
      <w:pStyle w:val="llb"/>
    </w:pPr>
    <w:r w:rsidRPr="001F79DA">
      <w:rPr>
        <w:rFonts w:ascii="Times New Roman" w:eastAsia="Times New Roman" w:hAnsi="Times New Roman" w:cs="Times New Roman"/>
        <w:i/>
        <w:sz w:val="20"/>
        <w:szCs w:val="20"/>
        <w:lang w:eastAsia="hu-HU"/>
      </w:rPr>
      <w:t xml:space="preserve">Telefonszám: 48/466 – 002, Fax: 48/444 – 753, E – mail cím: </w:t>
    </w:r>
    <w:r>
      <w:rPr>
        <w:rFonts w:ascii="Times New Roman" w:eastAsia="Times New Roman" w:hAnsi="Times New Roman" w:cs="Times New Roman"/>
        <w:i/>
        <w:sz w:val="20"/>
        <w:szCs w:val="20"/>
        <w:lang w:eastAsia="hu-HU"/>
      </w:rPr>
      <w:t>titkarsag</w:t>
    </w:r>
    <w:r w:rsidRPr="001F79DA">
      <w:rPr>
        <w:rFonts w:ascii="Times New Roman" w:eastAsia="Times New Roman" w:hAnsi="Times New Roman" w:cs="Times New Roman"/>
        <w:i/>
        <w:sz w:val="20"/>
        <w:szCs w:val="20"/>
        <w:lang w:eastAsia="hu-HU"/>
      </w:rPr>
      <w:t>@jardanhaza.t-online.hu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4196175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41FFC" w:rsidRPr="00C41FFC" w:rsidRDefault="00C41FFC">
        <w:pPr>
          <w:pStyle w:val="llb"/>
          <w:jc w:val="right"/>
          <w:rPr>
            <w:rFonts w:ascii="Times New Roman" w:hAnsi="Times New Roman" w:cs="Times New Roman"/>
            <w:sz w:val="24"/>
            <w:szCs w:val="24"/>
          </w:rPr>
        </w:pPr>
        <w:r w:rsidRPr="00C41FF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41FF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41FF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C41FFC">
          <w:rPr>
            <w:rFonts w:ascii="Times New Roman" w:hAnsi="Times New Roman" w:cs="Times New Roman"/>
            <w:sz w:val="24"/>
            <w:szCs w:val="24"/>
          </w:rPr>
          <w:t>2</w:t>
        </w:r>
        <w:r w:rsidRPr="00C41FF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1F79DA" w:rsidRDefault="00C41FFC">
    <w:pPr>
      <w:pStyle w:val="llb"/>
    </w:pPr>
    <w:r w:rsidRPr="001F79DA">
      <w:rPr>
        <w:rFonts w:ascii="Times New Roman" w:eastAsia="Times New Roman" w:hAnsi="Times New Roman" w:cs="Times New Roman"/>
        <w:i/>
        <w:sz w:val="20"/>
        <w:szCs w:val="20"/>
        <w:lang w:eastAsia="hu-HU"/>
      </w:rPr>
      <w:t xml:space="preserve">Telefonszám: 48/466 – 002, Fax: 48/444 – 753, E – mail cím: </w:t>
    </w:r>
    <w:r>
      <w:rPr>
        <w:rFonts w:ascii="Times New Roman" w:eastAsia="Times New Roman" w:hAnsi="Times New Roman" w:cs="Times New Roman"/>
        <w:i/>
        <w:sz w:val="20"/>
        <w:szCs w:val="20"/>
        <w:lang w:eastAsia="hu-HU"/>
      </w:rPr>
      <w:t>titkarsag</w:t>
    </w:r>
    <w:r w:rsidRPr="001F79DA">
      <w:rPr>
        <w:rFonts w:ascii="Times New Roman" w:eastAsia="Times New Roman" w:hAnsi="Times New Roman" w:cs="Times New Roman"/>
        <w:i/>
        <w:sz w:val="20"/>
        <w:szCs w:val="20"/>
        <w:lang w:eastAsia="hu-HU"/>
      </w:rPr>
      <w:t>@jardanhaza.t-online.hu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7029" w:rsidRDefault="00C87029" w:rsidP="001F79DA">
      <w:r>
        <w:separator/>
      </w:r>
    </w:p>
  </w:footnote>
  <w:footnote w:type="continuationSeparator" w:id="0">
    <w:p w:rsidR="00C87029" w:rsidRDefault="00C87029" w:rsidP="001F79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1FFC" w:rsidRPr="00C41FFC" w:rsidRDefault="00C41FFC" w:rsidP="00C41FFC">
    <w:pPr>
      <w:keepNext/>
      <w:keepLines/>
      <w:spacing w:after="10" w:line="249" w:lineRule="auto"/>
      <w:ind w:left="10" w:right="126" w:hanging="10"/>
      <w:outlineLvl w:val="0"/>
      <w:rPr>
        <w:rFonts w:ascii="Bookman Old Style" w:eastAsia="Times New Roman" w:hAnsi="Bookman Old Style" w:cs="Bookman Old Style"/>
        <w:b/>
        <w:bCs/>
        <w:color w:val="000000"/>
        <w:lang w:eastAsia="hu-HU"/>
      </w:rPr>
    </w:pPr>
    <w:r w:rsidRPr="00C41FFC">
      <w:rPr>
        <w:rFonts w:ascii="Times New Roman" w:eastAsia="Times New Roman" w:hAnsi="Times New Roman" w:cs="Times New Roman"/>
        <w:b/>
        <w:bCs/>
        <w:noProof/>
        <w:color w:val="000000"/>
        <w:lang w:eastAsia="hu-HU"/>
      </w:rPr>
      <w:drawing>
        <wp:anchor distT="0" distB="0" distL="114300" distR="114300" simplePos="0" relativeHeight="251659264" behindDoc="0" locked="0" layoutInCell="1" allowOverlap="1" wp14:anchorId="316B1F64" wp14:editId="75A00C6D">
          <wp:simplePos x="0" y="0"/>
          <wp:positionH relativeFrom="column">
            <wp:posOffset>114300</wp:posOffset>
          </wp:positionH>
          <wp:positionV relativeFrom="paragraph">
            <wp:posOffset>0</wp:posOffset>
          </wp:positionV>
          <wp:extent cx="1028700" cy="1028700"/>
          <wp:effectExtent l="0" t="0" r="0" b="0"/>
          <wp:wrapNone/>
          <wp:docPr id="11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28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41FFC">
      <w:rPr>
        <w:rFonts w:ascii="Bookman Old Style" w:eastAsia="Times New Roman" w:hAnsi="Bookman Old Style" w:cs="Bookman Old Style"/>
        <w:b/>
        <w:bCs/>
        <w:color w:val="000000"/>
        <w:lang w:eastAsia="hu-HU"/>
      </w:rPr>
      <w:t xml:space="preserve">                                             </w:t>
    </w:r>
  </w:p>
  <w:p w:rsidR="00C41FFC" w:rsidRPr="00C41FFC" w:rsidRDefault="00C41FFC" w:rsidP="00C41FFC">
    <w:pPr>
      <w:keepNext/>
      <w:keepLines/>
      <w:spacing w:after="10" w:line="249" w:lineRule="auto"/>
      <w:ind w:left="10" w:right="126" w:hanging="10"/>
      <w:outlineLvl w:val="0"/>
      <w:rPr>
        <w:rFonts w:ascii="Bookman Old Style" w:eastAsia="Times New Roman" w:hAnsi="Bookman Old Style" w:cs="Bookman Old Style"/>
        <w:b/>
        <w:bCs/>
        <w:color w:val="000000"/>
        <w:lang w:eastAsia="hu-HU"/>
      </w:rPr>
    </w:pPr>
    <w:r w:rsidRPr="00C41FFC">
      <w:rPr>
        <w:rFonts w:ascii="Bookman Old Style" w:eastAsia="Times New Roman" w:hAnsi="Bookman Old Style" w:cs="Bookman Old Style"/>
        <w:b/>
        <w:bCs/>
        <w:color w:val="000000"/>
        <w:lang w:eastAsia="hu-HU"/>
      </w:rPr>
      <w:t xml:space="preserve">               JÁRDÁNHÁZA KÖZSÉG </w:t>
    </w:r>
    <w:r w:rsidR="00085D23">
      <w:rPr>
        <w:rFonts w:ascii="Bookman Old Style" w:eastAsia="Times New Roman" w:hAnsi="Bookman Old Style" w:cs="Bookman Old Style"/>
        <w:b/>
        <w:bCs/>
        <w:color w:val="000000"/>
        <w:lang w:eastAsia="hu-HU"/>
      </w:rPr>
      <w:t>ÖNKORMÁNYZATA</w:t>
    </w:r>
  </w:p>
  <w:p w:rsidR="00C41FFC" w:rsidRPr="00C41FFC" w:rsidRDefault="00C41FFC" w:rsidP="00C41FFC">
    <w:pPr>
      <w:ind w:left="1416" w:firstLine="708"/>
      <w:jc w:val="left"/>
      <w:rPr>
        <w:rFonts w:ascii="Bookman Old Style" w:eastAsia="Times New Roman" w:hAnsi="Bookman Old Style" w:cs="Bookman Old Style"/>
        <w:b/>
        <w:bCs/>
        <w:i/>
        <w:iCs/>
        <w:sz w:val="20"/>
        <w:szCs w:val="20"/>
        <w:lang w:eastAsia="hu-HU"/>
      </w:rPr>
    </w:pPr>
    <w:r w:rsidRPr="00C41FFC">
      <w:rPr>
        <w:rFonts w:ascii="Bookman Old Style" w:eastAsia="Times New Roman" w:hAnsi="Bookman Old Style" w:cs="Bookman Old Style"/>
        <w:b/>
        <w:bCs/>
        <w:i/>
        <w:iCs/>
        <w:sz w:val="24"/>
        <w:szCs w:val="24"/>
        <w:lang w:eastAsia="hu-HU"/>
      </w:rPr>
      <w:t xml:space="preserve">         </w:t>
    </w:r>
    <w:r w:rsidRPr="00C41FFC">
      <w:rPr>
        <w:rFonts w:ascii="Bookman Old Style" w:eastAsia="Times New Roman" w:hAnsi="Bookman Old Style" w:cs="Bookman Old Style"/>
        <w:b/>
        <w:bCs/>
        <w:i/>
        <w:iCs/>
        <w:sz w:val="20"/>
        <w:szCs w:val="20"/>
        <w:lang w:eastAsia="hu-HU"/>
      </w:rPr>
      <w:t xml:space="preserve">     </w:t>
    </w:r>
    <w:r>
      <w:rPr>
        <w:rFonts w:ascii="Bookman Old Style" w:eastAsia="Times New Roman" w:hAnsi="Bookman Old Style" w:cs="Bookman Old Style"/>
        <w:b/>
        <w:bCs/>
        <w:i/>
        <w:iCs/>
        <w:sz w:val="20"/>
        <w:szCs w:val="20"/>
        <w:lang w:eastAsia="hu-HU"/>
      </w:rPr>
      <w:t xml:space="preserve"> </w:t>
    </w:r>
    <w:r w:rsidRPr="00C41FFC">
      <w:rPr>
        <w:rFonts w:ascii="Bookman Old Style" w:eastAsia="Times New Roman" w:hAnsi="Bookman Old Style" w:cs="Bookman Old Style"/>
        <w:b/>
        <w:bCs/>
        <w:i/>
        <w:iCs/>
        <w:sz w:val="20"/>
        <w:szCs w:val="20"/>
        <w:lang w:eastAsia="hu-HU"/>
      </w:rPr>
      <w:t>3664. Járdánháza, IV. Béla út 27.</w:t>
    </w:r>
  </w:p>
  <w:p w:rsidR="001F79DA" w:rsidRDefault="001F79DA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BE4"/>
    <w:rsid w:val="00085D23"/>
    <w:rsid w:val="001042D0"/>
    <w:rsid w:val="001F79DA"/>
    <w:rsid w:val="00257836"/>
    <w:rsid w:val="004727BE"/>
    <w:rsid w:val="005D17F3"/>
    <w:rsid w:val="00646A73"/>
    <w:rsid w:val="008B1F8B"/>
    <w:rsid w:val="00A42CF5"/>
    <w:rsid w:val="00AA60A8"/>
    <w:rsid w:val="00C41FFC"/>
    <w:rsid w:val="00C87029"/>
    <w:rsid w:val="00CA643C"/>
    <w:rsid w:val="00CE3BE4"/>
    <w:rsid w:val="00F051EB"/>
    <w:rsid w:val="00F46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B5CA1A"/>
  <w15:chartTrackingRefBased/>
  <w15:docId w15:val="{6EAC7873-4ACF-4577-B26D-92C7E15FC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20"/>
        <w:ind w:left="357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after="0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1F79DA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1F79DA"/>
  </w:style>
  <w:style w:type="paragraph" w:styleId="llb">
    <w:name w:val="footer"/>
    <w:basedOn w:val="Norml"/>
    <w:link w:val="llbChar"/>
    <w:uiPriority w:val="99"/>
    <w:unhideWhenUsed/>
    <w:rsid w:val="001F79DA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1F79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213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767613">
          <w:marLeft w:val="0"/>
          <w:marRight w:val="0"/>
          <w:marTop w:val="16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48886">
          <w:marLeft w:val="0"/>
          <w:marRight w:val="0"/>
          <w:marTop w:val="0"/>
          <w:marBottom w:val="3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338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JKOH_PC02</dc:creator>
  <cp:keywords/>
  <dc:description/>
  <cp:lastModifiedBy>JKOH_PC02</cp:lastModifiedBy>
  <cp:revision>8</cp:revision>
  <dcterms:created xsi:type="dcterms:W3CDTF">2019-07-29T08:22:00Z</dcterms:created>
  <dcterms:modified xsi:type="dcterms:W3CDTF">2019-11-25T12:08:00Z</dcterms:modified>
</cp:coreProperties>
</file>