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15" w:rsidRDefault="00887915" w:rsidP="00887915">
      <w:pPr>
        <w:tabs>
          <w:tab w:val="num" w:pos="284"/>
        </w:tabs>
        <w:jc w:val="both"/>
      </w:pPr>
    </w:p>
    <w:p w:rsidR="00887915" w:rsidRPr="00BE3249" w:rsidRDefault="00887915" w:rsidP="00887915">
      <w:pPr>
        <w:ind w:left="567"/>
        <w:jc w:val="center"/>
        <w:rPr>
          <w:b/>
        </w:rPr>
      </w:pPr>
      <w:r>
        <w:rPr>
          <w:b/>
          <w:bCs/>
        </w:rPr>
        <w:t>Balatongyörök Község</w:t>
      </w:r>
      <w:r w:rsidRPr="00BE3249">
        <w:rPr>
          <w:b/>
          <w:bCs/>
        </w:rPr>
        <w:t xml:space="preserve"> Önkormányzata Képviselő-testületének</w:t>
      </w:r>
    </w:p>
    <w:p w:rsidR="00887915" w:rsidRPr="00BE3249" w:rsidRDefault="00B714E0" w:rsidP="00887915">
      <w:pPr>
        <w:ind w:left="567"/>
        <w:jc w:val="center"/>
        <w:rPr>
          <w:b/>
        </w:rPr>
      </w:pPr>
      <w:r>
        <w:rPr>
          <w:b/>
          <w:bCs/>
        </w:rPr>
        <w:t>22/2016. (XI. 30.) önkormányzati rendelete</w:t>
      </w:r>
    </w:p>
    <w:p w:rsidR="00887915" w:rsidRPr="004749B2" w:rsidRDefault="00887915" w:rsidP="00887915">
      <w:pPr>
        <w:ind w:left="567"/>
        <w:jc w:val="center"/>
        <w:rPr>
          <w:b/>
        </w:rPr>
      </w:pPr>
      <w:r>
        <w:rPr>
          <w:b/>
          <w:bCs/>
        </w:rPr>
        <w:t>a helyi adókról szóló 17/2015. (XI.30.) önkormányzati rendelet módosításáról</w:t>
      </w:r>
    </w:p>
    <w:p w:rsidR="00887915" w:rsidRDefault="00887915" w:rsidP="00887915">
      <w:pPr>
        <w:tabs>
          <w:tab w:val="num" w:pos="284"/>
        </w:tabs>
        <w:jc w:val="both"/>
      </w:pPr>
    </w:p>
    <w:p w:rsidR="00887915" w:rsidRPr="001C254C" w:rsidRDefault="00887915" w:rsidP="00887915">
      <w:pPr>
        <w:pStyle w:val="NormlWeb"/>
        <w:spacing w:before="0" w:beforeAutospacing="0" w:after="0" w:afterAutospacing="0"/>
        <w:jc w:val="both"/>
      </w:pPr>
      <w:r w:rsidRPr="001C254C">
        <w:t>Balatongyörök Község Önkormányzatának Képviselő-testülete az Alaptörvény 32 cikk (1) bekezdés a) és h) pontjában, helyi adókról szóló 1990 évi C. törvény 1.§ (1) bekezdésében foglalt felhatalmazás alapján, az Alaptörvény 32. cikk (2) bekezdésében meghatározott feladatkörében eljárva a helyi adókról a következő rendeletet alkotja:</w:t>
      </w:r>
    </w:p>
    <w:p w:rsidR="00887915" w:rsidRDefault="00887915" w:rsidP="00887915">
      <w:pPr>
        <w:tabs>
          <w:tab w:val="num" w:pos="284"/>
        </w:tabs>
        <w:jc w:val="both"/>
      </w:pPr>
    </w:p>
    <w:p w:rsidR="00887915" w:rsidRDefault="00887915" w:rsidP="00887915">
      <w:pPr>
        <w:pStyle w:val="Listaszerbekezds"/>
        <w:numPr>
          <w:ilvl w:val="1"/>
          <w:numId w:val="1"/>
        </w:numPr>
        <w:tabs>
          <w:tab w:val="num" w:pos="284"/>
        </w:tabs>
        <w:jc w:val="center"/>
        <w:rPr>
          <w:b/>
        </w:rPr>
      </w:pPr>
      <w:r w:rsidRPr="00C76CF4">
        <w:rPr>
          <w:b/>
        </w:rPr>
        <w:t>§</w:t>
      </w:r>
    </w:p>
    <w:p w:rsidR="00887915" w:rsidRDefault="00887915" w:rsidP="00887915">
      <w:pPr>
        <w:pStyle w:val="Listaszerbekezds"/>
        <w:tabs>
          <w:tab w:val="num" w:pos="284"/>
        </w:tabs>
        <w:ind w:left="0"/>
        <w:rPr>
          <w:b/>
        </w:rPr>
      </w:pPr>
    </w:p>
    <w:p w:rsidR="00887915" w:rsidRPr="004749B2" w:rsidRDefault="00887915" w:rsidP="00887915">
      <w:pPr>
        <w:pStyle w:val="Listaszerbekezds"/>
        <w:tabs>
          <w:tab w:val="num" w:pos="284"/>
        </w:tabs>
        <w:ind w:left="0"/>
      </w:pPr>
      <w:r w:rsidRPr="00C76CF4">
        <w:t xml:space="preserve">A Rendelet 10. §-a az alábbiak szerint módosul: </w:t>
      </w:r>
    </w:p>
    <w:p w:rsidR="00887915" w:rsidRPr="00C76CF4" w:rsidRDefault="00887915" w:rsidP="00887915">
      <w:pPr>
        <w:pStyle w:val="Listaszerbekezds"/>
        <w:tabs>
          <w:tab w:val="num" w:pos="284"/>
        </w:tabs>
        <w:ind w:left="0"/>
        <w:rPr>
          <w:i/>
        </w:rPr>
      </w:pPr>
      <w:r w:rsidRPr="00C76CF4">
        <w:rPr>
          <w:i/>
        </w:rPr>
        <w:t>„10. §</w:t>
      </w:r>
    </w:p>
    <w:p w:rsidR="00887915" w:rsidRDefault="00887915" w:rsidP="00887915">
      <w:pPr>
        <w:pStyle w:val="Listaszerbekezds"/>
        <w:tabs>
          <w:tab w:val="num" w:pos="284"/>
        </w:tabs>
        <w:ind w:left="0"/>
        <w:jc w:val="both"/>
        <w:rPr>
          <w:i/>
        </w:rPr>
      </w:pPr>
      <w:r>
        <w:rPr>
          <w:i/>
        </w:rPr>
        <w:t>Az adó mértéke</w:t>
      </w:r>
      <w:r w:rsidRPr="00C76CF4">
        <w:rPr>
          <w:i/>
        </w:rPr>
        <w:t xml:space="preserve"> </w:t>
      </w:r>
    </w:p>
    <w:p w:rsidR="00887915" w:rsidRDefault="00887915" w:rsidP="00887915">
      <w:pPr>
        <w:pStyle w:val="Listaszerbekezds"/>
        <w:numPr>
          <w:ilvl w:val="0"/>
          <w:numId w:val="2"/>
        </w:numPr>
        <w:jc w:val="both"/>
        <w:rPr>
          <w:i/>
        </w:rPr>
      </w:pPr>
      <w:r>
        <w:rPr>
          <w:i/>
        </w:rPr>
        <w:t>A Helyi Építési Szabályzat szerint beépíthető és az országos településrendezési és építési követelményekről szóló 253/1997. (XII.20.) Kormányrendelet (a továbbiakban:</w:t>
      </w:r>
      <w:r w:rsidR="00DF419A">
        <w:rPr>
          <w:i/>
        </w:rPr>
        <w:t xml:space="preserve"> </w:t>
      </w:r>
      <w:r>
        <w:rPr>
          <w:i/>
        </w:rPr>
        <w:t>OTÉK) szerint építési teleknek minősülő</w:t>
      </w:r>
      <w:r w:rsidR="0079023E">
        <w:rPr>
          <w:i/>
        </w:rPr>
        <w:t xml:space="preserve"> </w:t>
      </w:r>
      <w:r w:rsidR="00DF419A">
        <w:rPr>
          <w:i/>
        </w:rPr>
        <w:t>telek</w:t>
      </w:r>
      <w:r>
        <w:rPr>
          <w:i/>
        </w:rPr>
        <w:t xml:space="preserve">, vagy </w:t>
      </w:r>
      <w:r w:rsidR="00DF419A">
        <w:rPr>
          <w:i/>
        </w:rPr>
        <w:t xml:space="preserve">ha </w:t>
      </w:r>
      <w:r>
        <w:rPr>
          <w:i/>
        </w:rPr>
        <w:t xml:space="preserve">az OTÉK szerinti építési telek kialakításának feltételei fennállnak és </w:t>
      </w:r>
      <w:r w:rsidR="0079023E">
        <w:rPr>
          <w:i/>
        </w:rPr>
        <w:t xml:space="preserve">az ingatlan </w:t>
      </w:r>
      <w:r>
        <w:rPr>
          <w:i/>
        </w:rPr>
        <w:t>rendelkezik közműcsatlakozási leh</w:t>
      </w:r>
      <w:r w:rsidR="007A65A6">
        <w:rPr>
          <w:i/>
        </w:rPr>
        <w:t xml:space="preserve">etőséggel (víz, </w:t>
      </w:r>
      <w:r w:rsidR="00B714E0">
        <w:rPr>
          <w:i/>
        </w:rPr>
        <w:t>szennyvízcsatorna</w:t>
      </w:r>
      <w:r w:rsidR="007A65A6">
        <w:rPr>
          <w:i/>
        </w:rPr>
        <w:t xml:space="preserve">, </w:t>
      </w:r>
      <w:r w:rsidR="00B714E0">
        <w:rPr>
          <w:i/>
        </w:rPr>
        <w:t>villamos energia</w:t>
      </w:r>
      <w:proofErr w:type="gramStart"/>
      <w:r w:rsidR="007A65A6">
        <w:rPr>
          <w:i/>
        </w:rPr>
        <w:t xml:space="preserve">) </w:t>
      </w:r>
      <w:r>
        <w:rPr>
          <w:i/>
        </w:rPr>
        <w:t>:</w:t>
      </w:r>
      <w:proofErr w:type="gramEnd"/>
      <w:r w:rsidR="007A65A6">
        <w:rPr>
          <w:i/>
        </w:rPr>
        <w:t xml:space="preserve"> </w:t>
      </w:r>
      <w:r w:rsidRPr="00C76CF4">
        <w:rPr>
          <w:i/>
        </w:rPr>
        <w:t>20.- Ft/m2</w:t>
      </w:r>
      <w:r w:rsidR="0079023E">
        <w:rPr>
          <w:i/>
        </w:rPr>
        <w:t>.</w:t>
      </w:r>
    </w:p>
    <w:p w:rsidR="0079023E" w:rsidRPr="00C76CF4" w:rsidRDefault="0079023E" w:rsidP="00887915">
      <w:pPr>
        <w:pStyle w:val="Listaszerbekezds"/>
        <w:numPr>
          <w:ilvl w:val="0"/>
          <w:numId w:val="2"/>
        </w:numPr>
        <w:jc w:val="both"/>
        <w:rPr>
          <w:i/>
        </w:rPr>
      </w:pPr>
      <w:r>
        <w:rPr>
          <w:i/>
        </w:rPr>
        <w:t xml:space="preserve">az a) pontba nem tartozó, Helyi Építési Szabályzat szerint </w:t>
      </w:r>
      <w:r w:rsidR="00B714E0">
        <w:rPr>
          <w:i/>
        </w:rPr>
        <w:t xml:space="preserve">beépítésre szánt </w:t>
      </w:r>
      <w:r>
        <w:rPr>
          <w:i/>
        </w:rPr>
        <w:t>telek esetében: 5 Ft.</w:t>
      </w:r>
    </w:p>
    <w:p w:rsidR="00887915" w:rsidRPr="00C76CF4" w:rsidRDefault="00887915" w:rsidP="00887915">
      <w:pPr>
        <w:tabs>
          <w:tab w:val="num" w:pos="284"/>
        </w:tabs>
        <w:jc w:val="both"/>
        <w:rPr>
          <w:i/>
        </w:rPr>
      </w:pPr>
    </w:p>
    <w:p w:rsidR="00887915" w:rsidRPr="00C61D68" w:rsidRDefault="00887915" w:rsidP="00887915">
      <w:pPr>
        <w:pStyle w:val="Listaszerbekezds"/>
        <w:numPr>
          <w:ilvl w:val="1"/>
          <w:numId w:val="1"/>
        </w:numPr>
        <w:tabs>
          <w:tab w:val="num" w:pos="284"/>
        </w:tabs>
        <w:jc w:val="center"/>
        <w:rPr>
          <w:b/>
        </w:rPr>
      </w:pPr>
      <w:r w:rsidRPr="00C61D68">
        <w:rPr>
          <w:b/>
        </w:rPr>
        <w:t>§</w:t>
      </w:r>
    </w:p>
    <w:p w:rsidR="00887915" w:rsidRDefault="00887915" w:rsidP="00887915">
      <w:pPr>
        <w:tabs>
          <w:tab w:val="num" w:pos="284"/>
        </w:tabs>
        <w:jc w:val="both"/>
      </w:pPr>
    </w:p>
    <w:p w:rsidR="00887915" w:rsidRDefault="00887915" w:rsidP="00887915">
      <w:pPr>
        <w:tabs>
          <w:tab w:val="num" w:pos="284"/>
        </w:tabs>
        <w:jc w:val="both"/>
      </w:pPr>
      <w:r>
        <w:t xml:space="preserve">A Rendelet 11. § c) és d) pontja az alábbiak szerint módosul: </w:t>
      </w:r>
    </w:p>
    <w:p w:rsidR="00887915" w:rsidRPr="00C61D68" w:rsidRDefault="00887915" w:rsidP="00887915">
      <w:pPr>
        <w:tabs>
          <w:tab w:val="num" w:pos="284"/>
        </w:tabs>
        <w:jc w:val="both"/>
        <w:rPr>
          <w:i/>
        </w:rPr>
      </w:pPr>
      <w:r w:rsidRPr="00C61D68">
        <w:rPr>
          <w:i/>
        </w:rPr>
        <w:t>„11. §</w:t>
      </w:r>
    </w:p>
    <w:p w:rsidR="00887915" w:rsidRPr="00C61D68" w:rsidRDefault="00887915" w:rsidP="00887915">
      <w:pPr>
        <w:tabs>
          <w:tab w:val="num" w:pos="284"/>
        </w:tabs>
        <w:jc w:val="both"/>
        <w:rPr>
          <w:i/>
        </w:rPr>
      </w:pPr>
      <w:r w:rsidRPr="00C61D68">
        <w:rPr>
          <w:i/>
        </w:rPr>
        <w:t>…</w:t>
      </w:r>
    </w:p>
    <w:p w:rsidR="00887915" w:rsidRPr="00C61D68" w:rsidRDefault="00887915" w:rsidP="00887915">
      <w:pPr>
        <w:tabs>
          <w:tab w:val="num" w:pos="284"/>
        </w:tabs>
        <w:jc w:val="both"/>
        <w:rPr>
          <w:i/>
        </w:rPr>
      </w:pPr>
      <w:r w:rsidRPr="00C61D68">
        <w:rPr>
          <w:i/>
        </w:rPr>
        <w:t xml:space="preserve">c) Balatongyörök Község Önkormányzata Képviselő-testületének a Helyi Építési Szabályzatáról szóló önkormányzati rendelete </w:t>
      </w:r>
      <w:r w:rsidR="00B714E0">
        <w:rPr>
          <w:i/>
        </w:rPr>
        <w:t>és Szabályozási Terve</w:t>
      </w:r>
      <w:r w:rsidRPr="00C61D68">
        <w:rPr>
          <w:i/>
        </w:rPr>
        <w:t xml:space="preserve"> szerint </w:t>
      </w:r>
      <w:r>
        <w:rPr>
          <w:i/>
        </w:rPr>
        <w:t>be nem építhető</w:t>
      </w:r>
      <w:r w:rsidRPr="00C61D68">
        <w:rPr>
          <w:i/>
        </w:rPr>
        <w:t xml:space="preserve"> területek.</w:t>
      </w:r>
    </w:p>
    <w:p w:rsidR="00887915" w:rsidRDefault="00887915" w:rsidP="00887915">
      <w:pPr>
        <w:tabs>
          <w:tab w:val="num" w:pos="284"/>
        </w:tabs>
        <w:jc w:val="both"/>
        <w:rPr>
          <w:i/>
        </w:rPr>
      </w:pPr>
      <w:r w:rsidRPr="00C61D68">
        <w:rPr>
          <w:i/>
        </w:rPr>
        <w:t>d) a külterületi</w:t>
      </w:r>
      <w:r w:rsidR="00B714E0">
        <w:rPr>
          <w:i/>
        </w:rPr>
        <w:t xml:space="preserve"> és az ingatlannyilvántartásban zártkertiként feltüntetett </w:t>
      </w:r>
      <w:r w:rsidRPr="00C61D68">
        <w:rPr>
          <w:i/>
        </w:rPr>
        <w:t>ingatlanok. „</w:t>
      </w:r>
    </w:p>
    <w:p w:rsidR="0079023E" w:rsidRDefault="0079023E" w:rsidP="00887915">
      <w:pPr>
        <w:tabs>
          <w:tab w:val="num" w:pos="284"/>
        </w:tabs>
        <w:jc w:val="both"/>
        <w:rPr>
          <w:i/>
        </w:rPr>
      </w:pPr>
    </w:p>
    <w:p w:rsidR="0079023E" w:rsidRDefault="0079023E" w:rsidP="0079023E">
      <w:pPr>
        <w:pStyle w:val="Listaszerbekezds"/>
        <w:numPr>
          <w:ilvl w:val="0"/>
          <w:numId w:val="3"/>
        </w:numPr>
        <w:tabs>
          <w:tab w:val="num" w:pos="284"/>
        </w:tabs>
        <w:jc w:val="center"/>
        <w:rPr>
          <w:b/>
        </w:rPr>
      </w:pPr>
      <w:r w:rsidRPr="0079023E">
        <w:rPr>
          <w:b/>
        </w:rPr>
        <w:t>§</w:t>
      </w:r>
    </w:p>
    <w:p w:rsidR="0079023E" w:rsidRDefault="0079023E" w:rsidP="0079023E">
      <w:pPr>
        <w:tabs>
          <w:tab w:val="num" w:pos="284"/>
        </w:tabs>
        <w:jc w:val="center"/>
        <w:rPr>
          <w:b/>
        </w:rPr>
      </w:pPr>
    </w:p>
    <w:p w:rsidR="0079023E" w:rsidRPr="005F1256" w:rsidRDefault="0079023E" w:rsidP="0079023E">
      <w:pPr>
        <w:tabs>
          <w:tab w:val="num" w:pos="284"/>
        </w:tabs>
        <w:jc w:val="both"/>
      </w:pPr>
      <w:r w:rsidRPr="005F1256">
        <w:t xml:space="preserve">A Rendelet 12. §-a az alábbi szövegrésszel egészül ki, valamint elhagyásra kerül a „belterületi szövegrész”: </w:t>
      </w:r>
    </w:p>
    <w:p w:rsidR="0079023E" w:rsidRPr="0079023E" w:rsidRDefault="0079023E" w:rsidP="0079023E">
      <w:pPr>
        <w:tabs>
          <w:tab w:val="num" w:pos="284"/>
        </w:tabs>
        <w:jc w:val="both"/>
        <w:rPr>
          <w:i/>
        </w:rPr>
      </w:pPr>
      <w:r>
        <w:rPr>
          <w:i/>
        </w:rPr>
        <w:t>„</w:t>
      </w:r>
      <w:r w:rsidRPr="0079023E">
        <w:rPr>
          <w:i/>
        </w:rPr>
        <w:t>12. §</w:t>
      </w:r>
    </w:p>
    <w:p w:rsidR="0079023E" w:rsidRPr="0079023E" w:rsidRDefault="0079023E" w:rsidP="0079023E">
      <w:pPr>
        <w:tabs>
          <w:tab w:val="num" w:pos="284"/>
        </w:tabs>
        <w:jc w:val="both"/>
        <w:rPr>
          <w:i/>
        </w:rPr>
      </w:pPr>
      <w:r w:rsidRPr="0079023E">
        <w:rPr>
          <w:i/>
        </w:rPr>
        <w:t>A Rendelet 10. § a) pontja szerinti, …</w:t>
      </w:r>
      <w:r>
        <w:rPr>
          <w:i/>
        </w:rPr>
        <w:t>”</w:t>
      </w:r>
    </w:p>
    <w:p w:rsidR="00887915" w:rsidRDefault="00887915" w:rsidP="00887915">
      <w:pPr>
        <w:tabs>
          <w:tab w:val="num" w:pos="284"/>
        </w:tabs>
        <w:jc w:val="both"/>
        <w:rPr>
          <w:i/>
        </w:rPr>
      </w:pPr>
    </w:p>
    <w:p w:rsidR="00887915" w:rsidRPr="0079023E" w:rsidRDefault="00887915" w:rsidP="0079023E">
      <w:pPr>
        <w:pStyle w:val="Listaszerbekezds"/>
        <w:numPr>
          <w:ilvl w:val="0"/>
          <w:numId w:val="3"/>
        </w:numPr>
        <w:jc w:val="center"/>
        <w:rPr>
          <w:b/>
        </w:rPr>
      </w:pPr>
      <w:r w:rsidRPr="0079023E">
        <w:rPr>
          <w:b/>
        </w:rPr>
        <w:t>§</w:t>
      </w:r>
    </w:p>
    <w:p w:rsidR="00887915" w:rsidRDefault="00887915" w:rsidP="00887915">
      <w:pPr>
        <w:tabs>
          <w:tab w:val="num" w:pos="1080"/>
        </w:tabs>
        <w:jc w:val="center"/>
        <w:rPr>
          <w:b/>
        </w:rPr>
      </w:pPr>
    </w:p>
    <w:p w:rsidR="00887915" w:rsidRDefault="00887915" w:rsidP="00887915">
      <w:pPr>
        <w:pStyle w:val="Listaszerbekezds"/>
        <w:ind w:left="0"/>
        <w:jc w:val="both"/>
      </w:pPr>
      <w:r w:rsidRPr="00C76CF4">
        <w:t xml:space="preserve">Ez a Rendelet 2017. január 01. napján lép hatályba, és hatályba lépését követő napon hatályát veszti. </w:t>
      </w:r>
    </w:p>
    <w:p w:rsidR="00887915" w:rsidRDefault="00887915" w:rsidP="00887915">
      <w:pPr>
        <w:pStyle w:val="Listaszerbekezds"/>
        <w:ind w:left="0"/>
        <w:jc w:val="both"/>
      </w:pPr>
    </w:p>
    <w:p w:rsidR="00887915" w:rsidRDefault="00887915" w:rsidP="00887915">
      <w:pPr>
        <w:pStyle w:val="Listaszerbekezds"/>
        <w:ind w:left="0"/>
        <w:jc w:val="both"/>
      </w:pPr>
      <w:r>
        <w:t xml:space="preserve">Balatongyörök, 2016. </w:t>
      </w:r>
      <w:r w:rsidR="00B714E0">
        <w:t>november 29.</w:t>
      </w:r>
    </w:p>
    <w:p w:rsidR="00887915" w:rsidRDefault="00887915" w:rsidP="00887915">
      <w:pPr>
        <w:pStyle w:val="Listaszerbekezds"/>
        <w:ind w:left="0"/>
        <w:jc w:val="both"/>
      </w:pPr>
    </w:p>
    <w:p w:rsidR="00B714E0" w:rsidRDefault="00B714E0" w:rsidP="00887915">
      <w:pPr>
        <w:pStyle w:val="Listaszerbekezds"/>
        <w:ind w:left="0"/>
        <w:jc w:val="both"/>
      </w:pPr>
    </w:p>
    <w:p w:rsidR="00887915" w:rsidRDefault="00887915" w:rsidP="00887915">
      <w:pPr>
        <w:pStyle w:val="Listaszerbekezds"/>
        <w:ind w:left="0"/>
        <w:jc w:val="both"/>
      </w:pPr>
      <w:r>
        <w:tab/>
      </w:r>
      <w:r>
        <w:tab/>
        <w:t xml:space="preserve">Biró Róbert </w:t>
      </w:r>
      <w:r>
        <w:tab/>
      </w:r>
      <w:r>
        <w:tab/>
      </w:r>
      <w:r>
        <w:tab/>
        <w:t>Bertalanné dr. Gallé Vera</w:t>
      </w:r>
    </w:p>
    <w:p w:rsidR="00887915" w:rsidRDefault="00887915" w:rsidP="00887915">
      <w:pPr>
        <w:pStyle w:val="Listaszerbekezds"/>
        <w:ind w:left="0"/>
        <w:jc w:val="both"/>
      </w:pPr>
      <w:r>
        <w:tab/>
      </w:r>
      <w:r>
        <w:tab/>
        <w:t>polgármester</w:t>
      </w:r>
      <w:r>
        <w:tab/>
      </w:r>
      <w:r>
        <w:tab/>
      </w:r>
      <w:r>
        <w:tab/>
      </w:r>
      <w:r>
        <w:tab/>
        <w:t>jegyző</w:t>
      </w:r>
    </w:p>
    <w:p w:rsidR="00887915" w:rsidRDefault="00887915" w:rsidP="00887915">
      <w:pPr>
        <w:pStyle w:val="Listaszerbekezds"/>
        <w:ind w:left="0"/>
        <w:jc w:val="both"/>
      </w:pPr>
    </w:p>
    <w:p w:rsidR="00887915" w:rsidRDefault="00887915" w:rsidP="00887915">
      <w:pPr>
        <w:pStyle w:val="Listaszerbekezds"/>
        <w:ind w:left="0"/>
        <w:jc w:val="both"/>
      </w:pPr>
    </w:p>
    <w:p w:rsidR="00887915" w:rsidRPr="001F1C09" w:rsidRDefault="00887915" w:rsidP="00887915">
      <w:pPr>
        <w:rPr>
          <w:b/>
        </w:rPr>
      </w:pPr>
      <w:r w:rsidRPr="001F1C09">
        <w:rPr>
          <w:b/>
        </w:rPr>
        <w:t>Kihirdetési záradék:</w:t>
      </w:r>
    </w:p>
    <w:p w:rsidR="00887915" w:rsidRDefault="00887915" w:rsidP="00887915"/>
    <w:p w:rsidR="00887915" w:rsidRPr="000E6879" w:rsidRDefault="00887915" w:rsidP="00887915">
      <w:r w:rsidRPr="000E6879">
        <w:t>A Rendelet kihirdetése a Vonyarcvashegyi Közös Önkormányzati Hivatal Ba</w:t>
      </w:r>
      <w:r w:rsidR="00B714E0">
        <w:t>latongyöröki Kirendeltségének hi</w:t>
      </w:r>
      <w:r w:rsidRPr="000E6879">
        <w:t xml:space="preserve">rdetőtábláján a mai napon megtörtént. </w:t>
      </w:r>
    </w:p>
    <w:p w:rsidR="00887915" w:rsidRDefault="00887915" w:rsidP="00887915"/>
    <w:p w:rsidR="00887915" w:rsidRDefault="00887915" w:rsidP="00887915">
      <w:r>
        <w:t>Balatongyörök, 2016</w:t>
      </w:r>
      <w:r w:rsidRPr="000E6879">
        <w:t xml:space="preserve">. </w:t>
      </w:r>
      <w:r w:rsidR="00B714E0">
        <w:t>november 30.</w:t>
      </w:r>
    </w:p>
    <w:p w:rsidR="00887915" w:rsidRPr="000E6879" w:rsidRDefault="00887915" w:rsidP="00887915"/>
    <w:p w:rsidR="00887915" w:rsidRPr="000E6879" w:rsidRDefault="00887915" w:rsidP="00887915">
      <w:r w:rsidRPr="000E6879">
        <w:t>Bertalanné dr. Gallé Vera</w:t>
      </w:r>
    </w:p>
    <w:p w:rsidR="00887915" w:rsidRDefault="00887915" w:rsidP="00887915">
      <w:r>
        <w:tab/>
        <w:t>jegyző</w:t>
      </w:r>
    </w:p>
    <w:p w:rsidR="00D6368C" w:rsidRDefault="00D6368C">
      <w:bookmarkStart w:id="0" w:name="_GoBack"/>
      <w:bookmarkEnd w:id="0"/>
    </w:p>
    <w:sectPr w:rsidR="00D6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738513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7C62F2C"/>
    <w:multiLevelType w:val="multilevel"/>
    <w:tmpl w:val="6738513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A322192"/>
    <w:multiLevelType w:val="hybridMultilevel"/>
    <w:tmpl w:val="D9B0B24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15"/>
    <w:rsid w:val="005F1256"/>
    <w:rsid w:val="0079023E"/>
    <w:rsid w:val="007A65A6"/>
    <w:rsid w:val="00887915"/>
    <w:rsid w:val="00B714E0"/>
    <w:rsid w:val="00D6368C"/>
    <w:rsid w:val="00DF41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79A0"/>
  <w15:chartTrackingRefBased/>
  <w15:docId w15:val="{01359F48-01A7-486B-AF4E-48DA9D91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88791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87915"/>
    <w:pPr>
      <w:ind w:left="720"/>
      <w:contextualSpacing/>
    </w:pPr>
  </w:style>
  <w:style w:type="paragraph" w:styleId="NormlWeb">
    <w:name w:val="Normal (Web)"/>
    <w:basedOn w:val="Norml"/>
    <w:unhideWhenUsed/>
    <w:rsid w:val="008879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1787</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2016-11-30T06:22:00Z</dcterms:created>
  <dcterms:modified xsi:type="dcterms:W3CDTF">2016-11-30T06:22:00Z</dcterms:modified>
</cp:coreProperties>
</file>