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19" w:rsidRDefault="0023736E">
      <w:pPr>
        <w:pStyle w:val="Alcm"/>
      </w:pPr>
      <w:bookmarkStart w:id="0" w:name="bookmark=id.3fwokq0" w:colFirst="0" w:colLast="0"/>
      <w:bookmarkEnd w:id="0"/>
      <w:r>
        <w:t xml:space="preserve">3. melléklet a </w:t>
      </w:r>
      <w:r w:rsidR="00E50F62">
        <w:t>1</w:t>
      </w:r>
      <w:r w:rsidR="005C5AAF">
        <w:t>2</w:t>
      </w:r>
      <w:r w:rsidR="00E50F62">
        <w:t>/2019. (XI.28.</w:t>
      </w:r>
      <w:r>
        <w:t>) önkormányzati rendelethez</w:t>
      </w:r>
    </w:p>
    <w:p w:rsidR="00164919" w:rsidRDefault="0023736E">
      <w:pPr>
        <w:pStyle w:val="Cm"/>
      </w:pPr>
      <w:r>
        <w:t>A BIZOTTSÁGOKRA ÁTRUHÁZOTT FELADAT- ÉS HATÁSKÖRÖK</w:t>
      </w:r>
    </w:p>
    <w:p w:rsidR="00164919" w:rsidRDefault="0023736E">
      <w:pPr>
        <w:spacing w:after="120"/>
        <w:ind w:firstLine="0"/>
      </w:pPr>
      <w:r>
        <w:t>1. A bizottságokra átruházott önkormányzati hatáskörök:</w:t>
      </w:r>
    </w:p>
    <w:p w:rsidR="00164919" w:rsidRDefault="00164919">
      <w:pPr>
        <w:spacing w:after="120"/>
        <w:ind w:firstLine="0"/>
      </w:pPr>
    </w:p>
    <w:p w:rsidR="00164919" w:rsidRDefault="0023736E">
      <w:pPr>
        <w:spacing w:after="120"/>
        <w:ind w:firstLine="0"/>
      </w:pPr>
      <w:r>
        <w:t>1.1. A finanszírozási bevételekkel és kiadásokkal kapcsolatos hatásköröket a Gazdasági és Jogi Bizottság gyakorolja. Az átmenetileg szabad pénzeszközöket kamatozó betétben, vagy állampapírban kell elhelyezni. A betétlekötésekre és az állampapír vásárlásokra a Gazdasági és Jogi döntése alapján kerülhet sor (Budapest I. kerület Budavári Önkormányzat 2019. évi költségvetéséről szóló 18/2018. (XII. 14.) önkormányzati rendelet 4. § (2) bekezdés),</w:t>
      </w:r>
    </w:p>
    <w:p w:rsidR="00164919" w:rsidRDefault="0023736E">
      <w:pPr>
        <w:spacing w:after="120"/>
        <w:ind w:firstLine="0"/>
      </w:pPr>
      <w:r>
        <w:t>1.2. 5 000 eFt-ot meghaladó pályázat esetén az előirányzat átcsoportosításhoz az ágazati bizottság javaslatát ki kell kérni (Budapest I. kerület Budavári Önkormányzat 2019. évi költségvetéséről szóló 18/2018. (XII. 14.) önkormányzati rendelet 6. § (4) bekezdés),</w:t>
      </w:r>
    </w:p>
    <w:p w:rsidR="00164919" w:rsidRDefault="0023736E">
      <w:pPr>
        <w:pBdr>
          <w:left w:val="none" w:sz="0" w:space="11" w:color="000000"/>
          <w:right w:val="none" w:sz="0" w:space="11" w:color="000000"/>
        </w:pBdr>
        <w:spacing w:after="120"/>
        <w:ind w:firstLine="0"/>
      </w:pPr>
      <w:r>
        <w:t>1.3. a bizottságok javaslatot tehetnek a helyi kitüntetések adományozására (a</w:t>
      </w:r>
      <w:r>
        <w:rPr>
          <w:b/>
        </w:rPr>
        <w:t xml:space="preserve"> </w:t>
      </w:r>
      <w:r>
        <w:t>Budavári helyi kitüntetések alapításáról és adományozásuk rendjéről szóló 10/2018. (V.25.) önkormányzati rendelet 3. § (1) bekezdés b) pont),</w:t>
      </w:r>
    </w:p>
    <w:p w:rsidR="00164919" w:rsidRDefault="0023736E">
      <w:pPr>
        <w:pBdr>
          <w:left w:val="none" w:sz="0" w:space="11" w:color="000000"/>
          <w:right w:val="none" w:sz="0" w:space="11" w:color="000000"/>
        </w:pBdr>
        <w:spacing w:after="120"/>
        <w:ind w:firstLine="0"/>
      </w:pPr>
      <w:r>
        <w:t>1.4. a közterület 1 éven túli használata kérdésében a döntést a Városfejlesztési és Környezetvédelmi Bizottság javaslatának ismeretében a Polgármester hozza meg (Budapest I. kerület Budavári Önkormányzat tulajdonában és kezelésében álló közterületek használatáról és rendjéről szóló 5/2018. (IV. 13.) önkormányzati rendelet 4. § (3) bekezdés),</w:t>
      </w:r>
    </w:p>
    <w:p w:rsidR="00164919" w:rsidRDefault="0023736E">
      <w:pPr>
        <w:spacing w:after="120"/>
        <w:ind w:firstLine="0"/>
      </w:pPr>
      <w:r>
        <w:t>1.5. a díjmérséklés és díj elengedés kérdésében a Polgármester dönt. A döntést megelőzően a Városfejlesztési és Környezetvédelmi Bizottság előzetes véleményét kérheti (Budapest I. kerület Budavári Önkormányzat tulajdonában és kezelésében álló közterületek használatáról és rendjéről szóló 5/2018. (IV. 13.) önkormányzati rendelet 14. § (2) bekezdés),</w:t>
      </w:r>
    </w:p>
    <w:p w:rsidR="00164919" w:rsidRDefault="0023736E">
      <w:pPr>
        <w:spacing w:after="120"/>
        <w:ind w:firstLine="0"/>
      </w:pPr>
      <w:r>
        <w:t>1.6. a pályázati kiírás feltételeit a Városfejlesztési és Környezetvédelmi Bizottság véleményének ismeretében a Polgármester határozza meg, melynek keretében kijelöli a kerület területén pályáztatással használatba adható közterületeket, az ott folytatható tevékenységeket és meghatározza a közterület-használattal összefüggő egyedi feltételeket (Budapest I. kerület Budavári Önkormányzat tulajdonában és kezelésében álló közterületek használatáról és rendjéről szóló 5/2018. (IV. 13.) önkormányzati rendelet 19. § (2) bekezdés),</w:t>
      </w:r>
    </w:p>
    <w:p w:rsidR="00164919" w:rsidRDefault="0023736E">
      <w:pPr>
        <w:spacing w:after="120"/>
        <w:ind w:firstLine="0"/>
      </w:pPr>
      <w:r>
        <w:t>1.7. a pályázatok bontását 3 tagú bizottság végzi a pályázati felhívásban meghirdetett időpontban. A pályázat eredményéről a Polgármester a bontás időpontjától számított 30 napon belül dönt a Városfejlesztési és Környezetvédelmi Bizottság véleményének ismeretében (Budapest I. kerület Budavári Önkormányzat tulajdonában és kezelésében álló közterületek használatáról és rendjéről szóló 5/2018. (IV. 13.) önkormányzati rendelet 19. § (5) bekezdés),</w:t>
      </w:r>
    </w:p>
    <w:p w:rsidR="00164919" w:rsidRDefault="0023736E">
      <w:pPr>
        <w:pBdr>
          <w:left w:val="none" w:sz="0" w:space="9" w:color="000000"/>
          <w:right w:val="none" w:sz="0" w:space="11" w:color="000000"/>
        </w:pBdr>
        <w:spacing w:after="120"/>
        <w:ind w:firstLine="0"/>
      </w:pPr>
      <w:r>
        <w:t xml:space="preserve">1.8. A kerületi védelem alá helyezésre, vagy megszüntetésre vonatkozó eljárás megindításáról a kezdeményezés alapján a Képviselő-testület dönt, a döntés előkészítése során be kell szerezni a </w:t>
      </w:r>
      <w:r>
        <w:lastRenderedPageBreak/>
        <w:t>Városfejlesztési és Környezetvédelmi Bizottság állásfoglalását (a településkép védelméről szóló 18/2017. (IX. 29.) önkormányzati rendelet 8. § (1) bekezdés),</w:t>
      </w:r>
    </w:p>
    <w:p w:rsidR="00164919" w:rsidRDefault="0023736E">
      <w:pPr>
        <w:pBdr>
          <w:left w:val="none" w:sz="0" w:space="9" w:color="000000"/>
          <w:right w:val="none" w:sz="0" w:space="11" w:color="000000"/>
        </w:pBdr>
        <w:spacing w:after="120"/>
        <w:ind w:firstLine="0"/>
      </w:pPr>
      <w:r>
        <w:t>1.9. az el nem fogadott véleményeket és azok indokolását a polgármester a főépítész szakmai javaslata figyelembevételével a Városfejlesztési és Környezetvédelmi Bizottság elé terjeszti. Az Önkormányzat Képviselő-testületének átruházott hatáskörében a Városfejlesztési és Környezetvédelmi Bizottság dönt a vélemények elfogadásáról és el nem fogadásáról. A vélemény el nem fogadása esetén a döntést a Városfejlesztési és Környezetvédelmi Bizottságnak indokolnia kell. (a partnerségi egyeztetés szabályairól szóló 6/2017. (II. 23.) önkormányzati rendelet 4. § (1) bekezdés),</w:t>
      </w:r>
    </w:p>
    <w:p w:rsidR="00164919" w:rsidRDefault="0023736E">
      <w:pPr>
        <w:pBdr>
          <w:left w:val="none" w:sz="0" w:space="9" w:color="000000"/>
          <w:right w:val="none" w:sz="0" w:space="11" w:color="000000"/>
        </w:pBdr>
        <w:spacing w:after="120"/>
        <w:ind w:firstLine="0"/>
        <w:rPr>
          <w:rFonts w:ascii="Times" w:eastAsia="Times" w:hAnsi="Times" w:cs="Times"/>
        </w:rPr>
      </w:pPr>
      <w:r>
        <w:rPr>
          <w:rFonts w:ascii="Times" w:eastAsia="Times" w:hAnsi="Times" w:cs="Times"/>
        </w:rPr>
        <w:t>1.10. a Tulajdonosi Bizottság jelöli ki a szociális bérletként bérbe adható lakásokat (az önkormányzat tulajdonában álló lakások és nem lakás céljára szolgáló helyiségek bérbeadásának feltételeiről szóló 2/2017. (II. 23.) önkormányzati rendelet 9. § (3) bekezdés),</w:t>
      </w:r>
    </w:p>
    <w:p w:rsidR="00164919" w:rsidRDefault="0023736E">
      <w:pPr>
        <w:pBdr>
          <w:left w:val="none" w:sz="0" w:space="9" w:color="000000"/>
          <w:right w:val="none" w:sz="0" w:space="11" w:color="000000"/>
        </w:pBdr>
        <w:spacing w:after="120"/>
        <w:ind w:firstLine="0"/>
        <w:rPr>
          <w:rFonts w:ascii="Times" w:eastAsia="Times" w:hAnsi="Times" w:cs="Times"/>
        </w:rPr>
      </w:pPr>
      <w:r>
        <w:rPr>
          <w:rFonts w:ascii="Times" w:eastAsia="Times" w:hAnsi="Times" w:cs="Times"/>
        </w:rPr>
        <w:t>1.11. a pályázatot a Tulajdonosi Bizottság írja ki és a Hivatal bonyolítja le (az önkormányzat tulajdonában álló lakások és nem lakás céljára szolgáló helyiségek bérbeadásának feltételeiről szóló 2/2017. (II. 23.) önkormányzati rendelet 14. § (1) bekezdés),</w:t>
      </w:r>
    </w:p>
    <w:p w:rsidR="00164919" w:rsidRDefault="0023736E">
      <w:pPr>
        <w:pBdr>
          <w:left w:val="none" w:sz="0" w:space="9" w:color="000000"/>
          <w:right w:val="none" w:sz="0" w:space="11" w:color="000000"/>
        </w:pBdr>
        <w:spacing w:after="120"/>
        <w:ind w:firstLine="0"/>
        <w:rPr>
          <w:rFonts w:ascii="Times" w:eastAsia="Times" w:hAnsi="Times" w:cs="Times"/>
        </w:rPr>
      </w:pPr>
      <w:r>
        <w:rPr>
          <w:rFonts w:ascii="Times" w:eastAsia="Times" w:hAnsi="Times" w:cs="Times"/>
        </w:rPr>
        <w:t>1.12. lakás nem lakás céljára történő bérbeadásáról - a bérlő, illetve a bérlőtársak kérelmére - a Tulajdonosi Bizottság dönt (az önkormányzat tulajdonában álló lakások és nem lakás céljára szolgáló helyiségek bérbeadásának feltételeiről szóló 2/2017. (II. 23.) önkormányzati rendelet 59. § (4) bekezdés),</w:t>
      </w:r>
    </w:p>
    <w:p w:rsidR="00164919" w:rsidRDefault="0023736E">
      <w:pPr>
        <w:pBdr>
          <w:left w:val="none" w:sz="0" w:space="9" w:color="000000"/>
          <w:right w:val="none" w:sz="0" w:space="11" w:color="000000"/>
        </w:pBdr>
        <w:spacing w:after="120"/>
        <w:ind w:firstLine="0"/>
        <w:rPr>
          <w:rFonts w:ascii="Times" w:eastAsia="Times" w:hAnsi="Times" w:cs="Times"/>
        </w:rPr>
      </w:pPr>
      <w:r>
        <w:rPr>
          <w:rFonts w:ascii="Times" w:eastAsia="Times" w:hAnsi="Times" w:cs="Times"/>
        </w:rPr>
        <w:t>1.13. a vagyonrendeletben meghatározott tartósan Önkormányzati tulajdonban lévő üzleti vagyon körébe vont, az elidegenítési körből kivett, külön tételesen felsorolt helyiségek bérbeadásáról a Képviselő-testület, más helyiségek bérbeadásáról a Tulajdonosi Bizottság (a továbbiakban együttesen: Bérbeadói jogok gyakorlója) határoz (az önkormányzat tulajdonában álló lakások és nem lakás céljára szolgáló helyiségek bérbeadásának feltételeiről szóló 2/2017. (II. 23.) önkormányzati rendelet 63. § (2) bekezdés),</w:t>
      </w:r>
    </w:p>
    <w:p w:rsidR="00164919" w:rsidRDefault="0023736E">
      <w:pPr>
        <w:pBdr>
          <w:left w:val="none" w:sz="0" w:space="9" w:color="000000"/>
          <w:right w:val="none" w:sz="0" w:space="11" w:color="000000"/>
        </w:pBdr>
        <w:spacing w:after="120"/>
        <w:ind w:firstLine="0"/>
        <w:rPr>
          <w:rFonts w:ascii="Times" w:eastAsia="Times" w:hAnsi="Times" w:cs="Times"/>
        </w:rPr>
      </w:pPr>
      <w:r>
        <w:rPr>
          <w:rFonts w:ascii="Times" w:eastAsia="Times" w:hAnsi="Times" w:cs="Times"/>
        </w:rPr>
        <w:t>1.14. a helyiség bérbeadására azzal köthető bérleti szerződés aki a Képviselő-testület, vagy a Tulajdonosi Bizottság döntése alapján versenyeztetés nélkül bérleti jogot kapott (az önkormányzat tulajdonában álló lakások és nem lakás céljára szolgáló helyiségek bérbeadásának feltételeiről szóló 2/2017. (II. 23.) önkormányzati rendelet 66. § (1) bekezdés f) pont),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1.15. a Tulajdonosi Bizottság pályázat kiírása nélkül, egyedi elbírálás alapján dönthet a helyiségnek határozott - egy évnél nem hosszabb – időre történő bérbeadásáról (az önkormányzat tulajdonában álló lakások és nem lakás céljára szolgáló helyiségek bérbeadásának feltételeiről szóló 2/2017. (II. 23.) önkormányzati rendelet 66. § (1) bekezdés f) pont 68.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1.16. a támogatás vonatkozásában döntéshozó: alapítványi kérelem esetén kizárólagos hatáskörben az önkormányzat Képviselő-testülete, pályázatok esetében az önkormányzat Képviselő-testülete vagy az illetékes bizottság, minden más esetben a Polgármester jogosult dönteni (az Önkormányzat által államháztartáson kívüli forrás átvételéről és az államháztartáson kívülre nyújtott támogatásokról szóló 13/2015. (V. 28.) önkormányzati rendelet 4.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1.17. ha a jogosultság elbírálásához a rendelet vagyonnyilatkozatot ír elő és a vagyonnyilatkozat szerint: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a család egynél több lakóingatlannal rendelkezik,</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lastRenderedPageBreak/>
        <w:t>b) a család egyéb ingatlan vagyonának együttes forgalmi értéke meghaladja a kétmillió forintot,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c) a család ingó vagyonának együttes forgalmi értéke meghaladja az öregségi nyugdíj mindenkori legkisebb összegének ötvenszeresét,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az ellátást csak a </w:t>
      </w:r>
      <w:r w:rsidR="005C5AAF" w:rsidRPr="005C5AAF">
        <w:rPr>
          <w:rFonts w:ascii="Times" w:eastAsia="Times" w:hAnsi="Times" w:cs="Times"/>
        </w:rPr>
        <w:t xml:space="preserve">Népjóléti, Oktatási, Kulturális és Sport Bizottság </w:t>
      </w:r>
      <w:r>
        <w:rPr>
          <w:rFonts w:ascii="Times" w:eastAsia="Times" w:hAnsi="Times" w:cs="Times"/>
        </w:rPr>
        <w:t>javaslata alapján állapítja meg a Polgármester (a szociális és gyermekjóléti pénzbeli, természetbeni és személyes gondoskodást nyújtó ellátásokról szóló 6/2015. (II.27.) önkormányzati rendelet 7. § (1)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1.18. a Képviselő-testület által átruházott hatáskörben a Népjóléti Bizottság jogosult dönteni az alábbi ügyekben:</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krízistámogatás,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b) lakás-helyreállítási támogatás,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c) kedvezményes üdülés részvétel feltételei, turnusbeosztás, üdülési díj.</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szociális és gyermekjóléti pénzbeli, természetbeni és személyes gondoskodást nyújtó ellátásokról szóló 6/2015. (II.27.) önkormányzati rendelet 7.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1.19. a fellebbezésekről a </w:t>
      </w:r>
      <w:r w:rsidR="005C5AAF" w:rsidRPr="005C5AAF">
        <w:rPr>
          <w:rFonts w:ascii="Times" w:eastAsia="Times" w:hAnsi="Times" w:cs="Times"/>
        </w:rPr>
        <w:t xml:space="preserve">Népjóléti, Oktatási, Kulturális és Sport Bizottság </w:t>
      </w:r>
      <w:r>
        <w:rPr>
          <w:rFonts w:ascii="Times" w:eastAsia="Times" w:hAnsi="Times" w:cs="Times"/>
        </w:rPr>
        <w:t>javaslata alapján a Képviselő-testület dönt. A Népjóléti Bizottság a javaslattétel során azt vizsgálja, hogy a döntés a vonatkozó jogszabályoknak megfelelt-e (a szociális és gyermekjóléti pénzbeli, természetbeni és személyes gondoskodást nyújtó ellátásokról szóló 6/2015. (II.27.) önkormányzati rendelet 7.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1.20. a Polgármester, illetve a Népjóléti Bizottság a szociális juttatás megállapításáról szóló határozatban előírhatja a támogatás rendeltetésszerű felhasználásának igazolását. Ha a segélyezett személy a rendeltetésszerű felhasználást nem tudja igazolni, vele szemben az ellátást jogosulatlanul és rosszhiszeműen igénybevevőkre vonatkozó, a Szociális törvény 17. §-ában meghatározott szabályokat kell alkalmazni (a szociális és gyermekjóléti pénzbeli, természetbeni és személyes gondoskodást nyújtó ellátásokról szóló 6/2015. (II. 27.) önkormányzati rendelet 7.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1.21. a Képviselő-testület a </w:t>
      </w:r>
      <w:r w:rsidR="005C5AAF" w:rsidRPr="005C5AAF">
        <w:rPr>
          <w:rFonts w:ascii="Times" w:eastAsia="Times" w:hAnsi="Times" w:cs="Times"/>
        </w:rPr>
        <w:t xml:space="preserve">Népjóléti, Oktatási, Kulturális és Sport Bizottság </w:t>
      </w:r>
      <w:r>
        <w:rPr>
          <w:rFonts w:ascii="Times" w:eastAsia="Times" w:hAnsi="Times" w:cs="Times"/>
        </w:rPr>
        <w:t>javaslata alapján méltányosságot gyakorolhat az alábbi ellátások megállapításában:</w:t>
      </w:r>
    </w:p>
    <w:p w:rsidR="00164919" w:rsidRDefault="0023736E">
      <w:pPr>
        <w:pBdr>
          <w:left w:val="none" w:sz="0" w:space="11" w:color="000000"/>
          <w:right w:val="none" w:sz="0" w:space="11" w:color="000000"/>
        </w:pBdr>
        <w:spacing w:after="120"/>
        <w:ind w:firstLine="0"/>
      </w:pPr>
      <w:r>
        <w:rPr>
          <w:rFonts w:ascii="Times" w:eastAsia="Times" w:hAnsi="Times" w:cs="Times"/>
        </w:rPr>
        <w:t>a) szociális kártya keretében nyújtott élelmiszertámogatás,</w:t>
      </w:r>
    </w:p>
    <w:p w:rsidR="00164919" w:rsidRDefault="0023736E">
      <w:pPr>
        <w:pBdr>
          <w:left w:val="none" w:sz="0" w:space="11" w:color="000000"/>
          <w:right w:val="none" w:sz="0" w:space="11" w:color="000000"/>
        </w:pBdr>
        <w:spacing w:after="120"/>
        <w:ind w:firstLine="0"/>
      </w:pPr>
      <w:r>
        <w:rPr>
          <w:rFonts w:ascii="Times" w:eastAsia="Times" w:hAnsi="Times" w:cs="Times"/>
        </w:rPr>
        <w:t>b) gyógyszer-támogatási segély,</w:t>
      </w:r>
    </w:p>
    <w:p w:rsidR="00164919" w:rsidRDefault="0023736E">
      <w:pPr>
        <w:pBdr>
          <w:left w:val="none" w:sz="0" w:space="11" w:color="000000"/>
          <w:right w:val="none" w:sz="0" w:space="11" w:color="000000"/>
        </w:pBdr>
        <w:spacing w:after="120"/>
        <w:ind w:firstLine="0"/>
      </w:pPr>
      <w:r>
        <w:rPr>
          <w:rFonts w:ascii="Times" w:eastAsia="Times" w:hAnsi="Times" w:cs="Times"/>
        </w:rPr>
        <w:t>c) adósságkezelési támogatás,</w:t>
      </w:r>
    </w:p>
    <w:p w:rsidR="00164919" w:rsidRDefault="0023736E">
      <w:pPr>
        <w:pBdr>
          <w:left w:val="none" w:sz="0" w:space="11" w:color="000000"/>
          <w:right w:val="none" w:sz="0" w:space="11" w:color="000000"/>
        </w:pBdr>
        <w:spacing w:after="120"/>
        <w:ind w:firstLine="0"/>
      </w:pPr>
      <w:r>
        <w:rPr>
          <w:rFonts w:ascii="Times" w:eastAsia="Times" w:hAnsi="Times" w:cs="Times"/>
        </w:rPr>
        <w:t>d) lakás-helyreállítási támogatás,</w:t>
      </w:r>
    </w:p>
    <w:p w:rsidR="00164919" w:rsidRDefault="0023736E">
      <w:pPr>
        <w:pBdr>
          <w:left w:val="none" w:sz="0" w:space="11" w:color="000000"/>
          <w:right w:val="none" w:sz="0" w:space="11" w:color="000000"/>
        </w:pBdr>
        <w:spacing w:after="120"/>
        <w:ind w:firstLine="0"/>
      </w:pPr>
      <w:r>
        <w:rPr>
          <w:rFonts w:ascii="Times" w:eastAsia="Times" w:hAnsi="Times" w:cs="Times"/>
        </w:rPr>
        <w:t>e) eseti települési támogatás,</w:t>
      </w:r>
    </w:p>
    <w:p w:rsidR="00164919" w:rsidRDefault="0023736E">
      <w:pPr>
        <w:pBdr>
          <w:left w:val="none" w:sz="0" w:space="11" w:color="000000"/>
          <w:right w:val="none" w:sz="0" w:space="11" w:color="000000"/>
        </w:pBdr>
        <w:spacing w:after="120"/>
        <w:ind w:firstLine="0"/>
      </w:pPr>
      <w:r>
        <w:rPr>
          <w:rFonts w:ascii="Times" w:eastAsia="Times" w:hAnsi="Times" w:cs="Times"/>
        </w:rPr>
        <w:t>f) temetési segély,</w:t>
      </w:r>
    </w:p>
    <w:p w:rsidR="00164919" w:rsidRDefault="0023736E">
      <w:pPr>
        <w:pBdr>
          <w:left w:val="none" w:sz="0" w:space="11" w:color="000000"/>
          <w:right w:val="none" w:sz="0" w:space="11" w:color="000000"/>
        </w:pBdr>
        <w:spacing w:after="120"/>
        <w:ind w:firstLine="0"/>
      </w:pPr>
      <w:r>
        <w:rPr>
          <w:rFonts w:ascii="Times" w:eastAsia="Times" w:hAnsi="Times" w:cs="Times"/>
        </w:rPr>
        <w:t>g) rendkívüli gyermekvédelmi támogatás.</w:t>
      </w:r>
    </w:p>
    <w:p w:rsidR="00164919" w:rsidRDefault="0023736E">
      <w:pPr>
        <w:pBdr>
          <w:left w:val="none" w:sz="0" w:space="11" w:color="000000"/>
          <w:right w:val="none" w:sz="0" w:space="11" w:color="000000"/>
        </w:pBdr>
        <w:spacing w:after="120"/>
        <w:ind w:firstLine="0"/>
      </w:pPr>
      <w:r>
        <w:rPr>
          <w:rFonts w:ascii="Times" w:eastAsia="Times" w:hAnsi="Times" w:cs="Times"/>
        </w:rPr>
        <w:t>(a szociális és gyermekjóléti pénzbeli, természetbeni és személyes gondoskodást nyújtó ellátásokról szóló 6/2015. (II. 27.) önkormányzati rendelet 16. § (1) bekezdés),</w:t>
      </w:r>
    </w:p>
    <w:p w:rsidR="00164919" w:rsidRDefault="0023736E">
      <w:pPr>
        <w:pBdr>
          <w:left w:val="none" w:sz="0" w:space="11" w:color="000000"/>
          <w:right w:val="none" w:sz="0" w:space="11" w:color="000000"/>
        </w:pBdr>
        <w:spacing w:after="120"/>
        <w:ind w:firstLine="0"/>
      </w:pPr>
      <w:r>
        <w:rPr>
          <w:rFonts w:ascii="Times" w:eastAsia="Times" w:hAnsi="Times" w:cs="Times"/>
        </w:rPr>
        <w:t xml:space="preserve">1.22. a Képviselő-testület a Népjóléti Bizottság javaslata alapján az elhunyt személy – akinek az elhalálozása időpontjában fennálló lakóhelye Budapest I. kerület közigazgatási területén volt – </w:t>
      </w:r>
      <w:r>
        <w:rPr>
          <w:rFonts w:ascii="Times" w:eastAsia="Times" w:hAnsi="Times" w:cs="Times"/>
        </w:rPr>
        <w:lastRenderedPageBreak/>
        <w:t>köztemetése költségeinek megtérítési kötelezettsége alól az eltemettetésre köteles személyt (a szociális és gyermekjóléti pénzbeli, természetbeni és személyes gondoskodást nyújtó ellátásokról szóló 6/2015. (II. 27.) önkormányzati rendelet 16. § (4) bekezdés),</w:t>
      </w:r>
    </w:p>
    <w:p w:rsidR="00164919" w:rsidRDefault="0023736E">
      <w:pPr>
        <w:pBdr>
          <w:left w:val="none" w:sz="0" w:space="11" w:color="000000"/>
          <w:right w:val="none" w:sz="0" w:space="11" w:color="000000"/>
        </w:pBdr>
        <w:spacing w:after="120"/>
        <w:ind w:firstLine="0"/>
      </w:pPr>
      <w:r>
        <w:rPr>
          <w:rFonts w:ascii="Times" w:eastAsia="Times" w:hAnsi="Times" w:cs="Times"/>
        </w:rPr>
        <w:t>1.23. a krízistámogatás megállapításáról a Népjóléti Bizottság határoz, amennyiben kérelmező saját és családtagjai jövedelmének egy főre jutó átlaga meghaladja a 17. § (1) bekezdése szerinti jövedelmi értékhatárt és rendkívüli élethelyzete azt indokolja. Az így megállapított segély évenkénti mértéke nem haladhatja meg az öregségi nyugdíj mindenkori legkisebb összegének háromszorosát (a szociális és gyermekjóléti pénzbeli, természetbeni és személyes gondoskodást nyújtó ellátásokról szóló 6/2015. (II. 27.) önkormányzati rendelet 19.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1.24. a Népjóléti Bizottság a krízistámogatást szociális kölcsön formájában is nyújthatja, ha a kérelmező</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elemi vagy bűncselekményből származó káresemény károsultja, és a kár vonatkozásában biztosítással nem rendelkezik,</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b) orvosi segédeszközt kíván vásárolni,</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c) rendkívüli élethelyzetbe (például kórházi ellátás, súlyos betegség) került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szociális és gyermekjóléti pénzbeli, természetbeni és személyes gondoskodást nyújtó ellátásokról szóló 6/2015. (II. 27.) önkormányzati rendelet 20. § (1)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1.25. a kölcsön formájában nyújtott krízistámogatás törlesztésének szüneteltetéséről, a támogatás még vissza nem térített összegének részben vagy egészben történő elengedése iránti kérelemről a Népjóléti Bizottság dönt (a szociális és gyermekjóléti pénzbeli, természetbeni és személyes gondoskodást nyújtó ellátásokról szóló 6/2015. (II. 27.) önkormányzati rendelet 20. § (8)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1.26. indokolt esetben a Népjóléti Bizottság javaslata alapján önkormányzati tulajdonú lakás esetén a karbantartási munkálatokat a GAMESZ is elvégezheti. Ebben az esetben a támogatás összege közvetlenül a GAMESZ részére kerül átutalásra (a szociális és gyermekjóléti pénzbeli, természetbeni és személyes gondoskodást nyújtó ellátásokról szóló 6/2015. (II. 27.) önkormányzati rendelet 42.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1.27. a megállapított lakás-helyreállítási támogatások felhasználásáról minden év december 31-ig a Polgármesteri Hivatal Népjóléti Csoportja beszámolót készít a Népjóléti Bizottság részére (a szociális és gyermekjóléti pénzbeli, természetbeni és személyes gondoskodást nyújtó ellátásokról szóló 6/2015. (II. 27.) önkormányzati rendelet 44. § (5)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1.28. az önkormányzat fenntartásában működő szociális intézmények Szervezeti és Működési Szabályzatát, Szakmai programját a Képviselő-testület által átruházott hatáskörben az Egészségügyi és Szociális Bizottság hagyja jóvá (a szociális és gyermekjóléti pénzbeli, természetbeni és személyes gondoskodást nyújtó ellátásokról szóló 6/2015. (II. 27.) önkormányzati rendelet 52.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1.29. a bölcsődei ellátás igénybevételéről az intézményvezető javaslata és a Népjóléti Csoport előterjesztése alapján a Népjóléti Bizottság dönt, az elbírálás során elsőbbséget élveznek az I. kerületben bejelentett lakóhellyel (ennek hiányában tartózkodási hellyel) rendelkező és életvitelszerűen is az I. kerületben élő családok gyermekei (a szociális és gyermekjóléti pénzbeli, </w:t>
      </w:r>
      <w:r>
        <w:rPr>
          <w:rFonts w:ascii="Times" w:eastAsia="Times" w:hAnsi="Times" w:cs="Times"/>
        </w:rPr>
        <w:lastRenderedPageBreak/>
        <w:t>természetbeni és személyes gondoskodást nyújtó ellátásokról szóló 6/2015. (II. 27.) önkormányzati rendelet 55. § (5)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1.30. a szülő, törvényes képviselő kérelmére különös méltánylást érdemlő esetben a (9) bekezdés b) pontjában részletezett ok fennállása esetén a Népjóléti Bizottság a Gyermekjóléti Szolgálat javaslata alapján a bölcsődei ellátást továbbra is biztosíthatja azon gyermek számára, aki rendszeres gyermekvédelmi kedvezményre jogosult, vagy akinek a szülője, gondozója szociális helyzete miatt a gyermek napközbeni ellátásáról más módon nem tud gondoskodni (a szociális és gyermekjóléti pénzbeli, természetbeni és személyes gondoskodást nyújtó ellátásokról szóló 6/2015. (II. 27.) önkormányzati rendelet 55. § (10)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1.31. a közterületen történő fa-és cserje kivágását a fás szárú növények védelméről szóló kormányrendelet alapján a növény helye szerinti illetékes jegyző engedélyezi, a kivágott fa-és cserje pótlásáról e rendeletben meghatározottak szerint kell gondoskodni.  Közterületi zöldfelületek és fasorok átalakítása, rendezése esetén a tervdokumentációt és benne a fakivágásra és pótlásra vonatkozó munkarészeket a Városfejlesztési és Környezetvédelmi Bizottság előzetesen jóváhagyja (a fakivágás helyi szabályairól szóló 18/2014. (XII. 11.) önkormányzati rendelet 4.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1.32. az ebek futtatására lehetőséget biztosító terület (a továbbiakban: kutyafuttató) kijelöléséről  a Városfejlesztési és Környezetvédelmi Bizottság dönt (a közösségi együttélés alapvető szabályairól valamint ezek megsértésének és elmulasztásának jogkövetkezményeiről szóló 15/2013 (V. 31.) önkormányzati rendelet 12. § (1)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1.33. a kutyafuttató – a Városfejlesztési és Környezetvédelmi Bizottság döntése alapján - – időbeli korlát nélkül, vagy sötétedéstől virradatig használhatók (a közösségi együttélés alapvető szabályairól valamint ezek megsértésének és elmulasztásának jogkövetkezményeiről szóló 15/2013 (V. 31.) önkormányzati rendelet 12.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1.34. a pályázatot a Polgármester előterjesztése alapján a Városfejlesztési és Környezetvédelmi Bizottság és a Pénzügyi Bizottság évente két alkalommal  bírálja el (a társasházak felújítási hitelfelvételének támogatásáról szól 12/2005. (VI. 1.) önkormányzati rendelet a társasházak felújítási hitelfelvételének támogatásáról 12. § (1) bekezdés a) pont)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1.35. a támogatás előzetes véleményezésére a Városfejlesztési és Környezetvédelmi Bizottság, a támogatás elbírálására a Képviselő-testület Pénzügyi Bizottsága jogosult (a társasházak felújítási hitelfelvételének támogatásáról szól 12/2005. (VI. 1.) önkormányzati rendelet a társasházak felújítási hitelfelvételének támogatásáról 14. § (6) bekezdés),</w:t>
      </w:r>
    </w:p>
    <w:p w:rsidR="00164919" w:rsidRDefault="0023736E">
      <w:pPr>
        <w:spacing w:after="120"/>
        <w:ind w:firstLine="0"/>
      </w:pPr>
      <w:r>
        <w:t>1.36. a Budavári Önkormányzat az e rendeletben szabályozott feltételek fennállása esetén, a rendeletben szabályozott módon biztosítja, hogy az OTÉK-ben, illetve a hatályos fővárosi és kerületi rendeletben előírt, az építéssel kapcsolatban felmerülő parkoló-létesítésre köteles építtető kötelezettségét – meghatározott díjért – a Budavári Önkormányzat teljesíti a Városfejlesztési és Környezetvédelmi Bizottság által jóváhagyott jegyzékről közterületek kijelölésével, illetve azokon a közterületeken parkolóhelyek létesítésével (a parkolóhely-létesítési kötelezettségről szóló 9/2005. (IV. 29.) önkormányzati rendelet 2. § (1) bekezdés),</w:t>
      </w:r>
    </w:p>
    <w:p w:rsidR="00164919" w:rsidRDefault="0023736E">
      <w:pPr>
        <w:spacing w:after="120"/>
        <w:ind w:firstLine="0"/>
      </w:pPr>
      <w:r>
        <w:rPr>
          <w:rFonts w:ascii="Times" w:eastAsia="Times" w:hAnsi="Times" w:cs="Times"/>
        </w:rPr>
        <w:t xml:space="preserve">1.37. a Budavári Önkormányzat a szerződéskötéstől számított legkésőbb egy éven belül kialakítja a Városfejlesztési és Környezetvédelmi Bizottság által jóváhagyott jegyzéken szereplő közterületen a befizetésnek megfelelő számú új közterületi parkolóhelyet vagy –helyeket </w:t>
      </w:r>
      <w:r>
        <w:t xml:space="preserve">(a </w:t>
      </w:r>
      <w:r>
        <w:lastRenderedPageBreak/>
        <w:t>parkolóhely-létesítési kötelezettségről szóló 9/2005. (IV. 29.) önkormányzati rendelet 2. § (3) bekezdés),</w:t>
      </w:r>
    </w:p>
    <w:p w:rsidR="00164919" w:rsidRDefault="0023736E">
      <w:pPr>
        <w:spacing w:after="120"/>
        <w:ind w:firstLine="0"/>
        <w:rPr>
          <w:rFonts w:ascii="Times" w:eastAsia="Times" w:hAnsi="Times" w:cs="Times"/>
        </w:rPr>
      </w:pPr>
      <w:r>
        <w:rPr>
          <w:rFonts w:ascii="Times" w:eastAsia="Times" w:hAnsi="Times" w:cs="Times"/>
        </w:rPr>
        <w:t xml:space="preserve">1.38. a Budavári Önkormányzat Városfejlesztési és Környezetvédelmi Bizottsága felhatalmazást kap arra, hogy a Polgármester előterjesztése alapján jóváhagyja és évente felülvizsgálja az új közterületi parkolóhelyek kialakítására alkalmas területek jegyzékét </w:t>
      </w:r>
      <w:r>
        <w:t>(a parkolóhely-létesítési kötelezettségről szóló 9/2005. (IV. 29.) önkormányzati rendelet 6. § (1) bekezdés),</w:t>
      </w:r>
    </w:p>
    <w:p w:rsidR="00164919" w:rsidRDefault="0023736E">
      <w:pPr>
        <w:spacing w:after="120"/>
        <w:ind w:firstLine="0"/>
      </w:pPr>
      <w:r>
        <w:t>1.39. a helyi támogatásról - a fiatal házasok első lakáshoz jutásának helyi támogatását kivéve - a kérelem benyújtását követő harminc napon belül a Képviselő-testület Népjóléti Bizottsága  dönt a rendelkezésére álló adatok, dokumentumok és a kijelölt bizottsági tagok által elkészített helyszíni környezettanulmány alapján. A Népjóléti Bizottság az elbírálás határidejét egy ízben 30 nappal meghosszabbíthatja (a fiatal házasok első lakáshoz jutásának, valamint a lakás építésének, vásárlásának és korszerűsítésének helyi önkormányzati pénzügyi támogatásáról szóló 6/1997. (III. 17.) önkormányzati rendelet 17. § (1) bekezdés a) pont),</w:t>
      </w:r>
    </w:p>
    <w:p w:rsidR="00164919" w:rsidRDefault="0023736E">
      <w:pPr>
        <w:spacing w:after="120"/>
        <w:ind w:firstLine="0"/>
      </w:pPr>
      <w:r>
        <w:rPr>
          <w:rFonts w:ascii="Times" w:eastAsia="Times" w:hAnsi="Times" w:cs="Times"/>
        </w:rPr>
        <w:t xml:space="preserve">1.40. a helyi támogatás visszafizetésére legalább öt évet kell, de legfeljebb tizenöt évet lehet biztosítani. A futamidő tekintetében a bizottság határoz, a kérelmező szociális helyzete alapján, figyelemmel az így kialakítható egyenlő havi törlesztő részletek nagyságára </w:t>
      </w:r>
      <w:r>
        <w:t>(a fiatal házasok első lakáshoz jutásának, valamint a lakás építésének, vásárlásának és korszerűsítésének helyi önkormányzati pénzügyi támogatásáról szóló 6/1997. (III. 17.) önkormányzati rendelet 18. § (2) bekezdés a) pont),</w:t>
      </w:r>
    </w:p>
    <w:p w:rsidR="00164919" w:rsidRDefault="0023736E">
      <w:pPr>
        <w:spacing w:after="120"/>
        <w:ind w:firstLine="0"/>
      </w:pPr>
      <w:r>
        <w:rPr>
          <w:rFonts w:ascii="Times" w:eastAsia="Times" w:hAnsi="Times" w:cs="Times"/>
        </w:rPr>
        <w:t xml:space="preserve">1.41. a helyi támogatásban részesített szociális helyzetére tekintettel a törlesztés megkezdése után kérheti - a futamidő meghosszabbítása útján - a havi törlesztő részletek mérséklését. A kérdésben a Népjóléti Bizottság határoz, de a 18. § (2) bekezdésben meghatározott leghosszabb időtartamot nem lépheti át </w:t>
      </w:r>
      <w:r>
        <w:t>(a fiatal házasok első lakáshoz jutásának, valamint a lakás építésének, vásárlásának és korszerűsítésének helyi önkormányzati pénzügyi támogatásáról szóló 6/1997. (III. 17.) önkormányzati rendelet 21.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1.42. a </w:t>
      </w:r>
      <w:r w:rsidR="005C5AAF" w:rsidRPr="005C5AAF">
        <w:rPr>
          <w:rFonts w:ascii="Times" w:eastAsia="Times" w:hAnsi="Times" w:cs="Times"/>
        </w:rPr>
        <w:t xml:space="preserve">Népjóléti, Oktatási, Kulturális és Sport Bizottság </w:t>
      </w:r>
      <w:r>
        <w:rPr>
          <w:rFonts w:ascii="Times" w:eastAsia="Times" w:hAnsi="Times" w:cs="Times"/>
        </w:rPr>
        <w:t xml:space="preserve">abban az esetben, ha a támogatott életkörülményeiben, jövedelmi, vagyoni viszonyaiban előre nem látható rendkívüli változás következik be, a helyi támogatás visszafizetését egy ízben, legfeljebb egy évre felfüggesztheti. A felfüggesztés időtartama a futamidőbe nem számítható be </w:t>
      </w:r>
      <w:r>
        <w:t>(a fiatal házasok első lakáshoz jutásának, valamint a lakás építésének, vásárlásának és korszerűsítésének helyi önkormányzati pénzügyi támogatásáról szóló 6/1997. (III. 17.) önkormányzati rendelet 21.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1.43. a helyi támogatás azonnali, egyösszegű visszafizetésére kell kötelezni támogatottat a 16. § (1) bekezdésben szabályozott esetekben. Ebben a kérdésben a Néjóléti Bizottság határoz </w:t>
      </w:r>
      <w:r>
        <w:t>(a fiatal házasok első lakáshoz jutásának, valamint a lakás építésének, vásárlásának és korszerűsítésének helyi önkormányzati pénzügyi támogatásáról szóló 6/1997. (III. 17.) önkormányzati rendelet 23. § (1) bekezdés)</w:t>
      </w:r>
      <w:r>
        <w:rPr>
          <w:rFonts w:ascii="Times" w:eastAsia="Times" w:hAnsi="Times" w:cs="Times"/>
        </w:rPr>
        <w: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1.44. a Képviselő-testület a </w:t>
      </w:r>
      <w:r w:rsidR="005C5AAF" w:rsidRPr="005C5AAF">
        <w:rPr>
          <w:rFonts w:ascii="Times" w:eastAsia="Times" w:hAnsi="Times" w:cs="Times"/>
        </w:rPr>
        <w:t xml:space="preserve">Népjóléti, Oktatási, Kulturális és Sport Bizottság </w:t>
      </w:r>
      <w:r>
        <w:rPr>
          <w:rFonts w:ascii="Times" w:eastAsia="Times" w:hAnsi="Times" w:cs="Times"/>
        </w:rPr>
        <w:t xml:space="preserve">javaslatára a helyi támogatás visszafizetését részben vagy egészben elengedheti a pénzügyileg tartósan ellehetetlenült kérelmezőnek, illetve családnak, ha önhibáján kívül került olyan helyzetbe, hogy nem képes a lakás vásárlásával összefüggő pénzintézeti hitelek és az önkormányzati támogatás havi törlesztő részleteinek a megfizetésére </w:t>
      </w:r>
      <w:r>
        <w:t>(a fiatal házasok első lakáshoz jutásának, valamint a lakás építésének, vásárlásának és korszerűsítésének helyi önkormányzati pénzügyi támogatásáról szóló 6/1997. (III. 17.) önkormányzati rendelet 23. § (3) bekezdés)</w:t>
      </w:r>
      <w:r>
        <w:rPr>
          <w:rFonts w:ascii="Times" w:eastAsia="Times" w:hAnsi="Times" w:cs="Times"/>
        </w:rPr>
        <w: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lastRenderedPageBreak/>
        <w:t xml:space="preserve">1.45. a rendelet hatálybalépése elölt nyújtott támogatások visszafizetésére továbbra is a támogatás nyújtásakor hatályban volt jogszabályok az irányadók azzal, hogy a támogatás havi törlesztőrészletét a Tulajdonosi Bizottság hozzájárulása alapján lehet mérsékelni, ha a kérelmező nem képes a lakás vásárlásával összefüggő önkormányzati támogatáskorábban megállapított havi törlesztő-részletének megfizetésére </w:t>
      </w:r>
      <w:r>
        <w:t>(a fiatal házasok első lakáshoz jutásának, valamint a lakás építésének, vásárlásának és korszerűsítésének helyi önkormányzati pénzügyi támogatásáról szóló 6/1997. (III. 17.) önkormányzati rendelet 27. § (2) bekezdés)</w:t>
      </w:r>
      <w:r>
        <w:rPr>
          <w:rFonts w:ascii="Times" w:eastAsia="Times" w:hAnsi="Times" w:cs="Times"/>
        </w:rPr>
        <w: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1.46. ha e rendelet másként nem rendelkezik, a vagyongazdálkodással kapcsolatos tulajdonosi döntéseket a jegyző útján a Polgármesteri Hivatal készíti elő és terjeszti a Tulajdonosi Bizottság elé és gondoskodik szükség szerint az előterjesztés szakmai koordinációjáról a (4)-(6) bekezdésben foglaltak szerint (az Önkormányzat vagyonáról, a vagyontárgyak feletti tulajdonosi jogok gyakorlásáról szóló 16/1995. (XI. 30.) önkormányzati rendelet 15.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1.47. a forgalomképtelen vagyonnak a tulajdonjogát nem érintő hasznosítása, - az SZMSZ szerint illetékes szakmai bizottság véleményének előzetes kikérését követően - a polgármester feladatkörébe tartozik (az Önkormányzat vagyonáról, a vagyontárgyak feletti tulajdonosi jogok gyakorlásáról szóló 16/1995. (XI. 30.) önkormányzati rendelet 16. § (1)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1.48. a 4. §-ban meghatározott korlátozottan forgalomképes vagyontárgyak megterheléséről, bérleti vagy a használati jogának átengedéséről - a (3) bekezdésben és a 18. §-ban foglalt kivétellel - 20 millió forint értékhatárig a Tulajdonosi Bizottság, ezen értékhatár felett a Képviselő-testület határoz (az Önkormányzat vagyonáról, a vagyontárgyak feletti tulajdonosi jogok gyakorlásáról szóló 16/1995. (XI. 30.) önkormányzati rendelet 17.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1.49. a 4. § b) pontjában valamint a nemzeti vagyonról szóló törvény 5. § (5) bekezdés b) pontjában meghatározott vagyontárgyak tulajdonjogát nem érintő hasznosítása a polgármester feladatkörébe tartozik. A polgármester köteles a döntése előtt a vagyontárgy jellege szerint illetékes szakmai bizottság véleményét kikérni (az Önkormányzat vagyonáról, a vagyontárgyak feletti tulajdonosi jogok gyakorlásáról szóló 16/1995. (XI. 30.) önkormányzati rendelet 17.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1.50. az önkormányzati intézmény vezetője - az SZMSZ-ben meghatározott illetékes szakmai bizottság előzetes hozzájárulásával - dönt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az ingó vagyon és a vagyoni értékű jog megszerzéséről, elidegenítéséről, megterheléséről és egyéb módon történő hasznosításáról 2-10 millió Ft értékhatárig,</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b) ingatlan, ingatlanrész 1 évet meghaladó használatba adásáról.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(az Önkormányzat vagyonáról, a vagyontárgyak feletti tulajdonosi jogok gyakorlásáról szóló 16/1995. (XI. 30.) önkormányzati rendelet 18.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1.51. a társaság legfőbb szervének az (1) bekezdésben fel nem sorolt egyéb, törvény vagy az alapító okirat (alapszabály) által hatáskörébe tartozó jogait a Tulajdonosi Bizottság gyakorolja kivéve a társaság 1 évet meg nem haladó időtartamra megválasztandó vezető tisztségviselőjének kinevezését (megbízását), továbbá a társaság vezető tisztségviselőjének visszahívását, díjazásának megállapítását, amely a Polgármester hatáskörébe tartozik (az Önkormányzat vagyonáról, a vagyontárgyak feletti tulajdonosi jogok gyakorlásáról szóló 16/1995. (XI. 30.) önkormányzati rendelet 19.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lastRenderedPageBreak/>
        <w:t>1.52. a rendelet 1. számú mellékletében meghatározott szabadon felhasználható üzleti vagyonnak minősülő, társasházi közös tulajdon esetében amennyiben az Önkormányzat tulajdoni hányada a 10%-ot meghaladja, de az 50%-ot nem lépi túl, és a vagyontárgy értéke a 20 millió forintot nem haladja meg, továbbá amennyiben az önkormányzati tulajdoni hányad a 10%-ot ugyan nem éri el, de a vagyontárgy értéke az 5 millió forintot meghaladja, a Tulajdonosi Bizottság dönt (az Önkormányzat vagyonáról, a vagyontárgyak feletti tulajdonosi jogok gyakorlásáról szóló 16/1995. (XI. 30.) önkormányzati rendelet 20. § (1) bekezdés b) pont),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1.53. az üzleti vagyonnak a tulajdonjogát nem érintő hasznosításáról 20 millió forintot meg nem haladó értékhatárig a polgármester, 20 millió forintot meghaladó, de 50 millió forintot meg nem haladó értékű vagyontárgy esetében a Tulajdonosi Bizottság dönt. 50 millió forint értékhatárt meghaladóan a Képviselő-testület határoz (az Önkormányzat vagyonáról, a vagyontárgyak feletti tulajdonosi jogok gyakorlásáról szóló 16/1995. (XI. 30.) önkormányzati rendelet 20.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1.54. a rendelet szerint üzleti vagyonnak minősülő vagyontárgy megszerzéséről – ide nem értve az ingyenes megszerzés esetét – és megterheléséről 20 millió forintot meg nem haladó értékhatárig a polgármester, 20 millió forintot meghaladó, de 50 millió forintot meg nem haladó értékű vagyontárgy esetében, továbbá az önkormányzati vagyon vagyonkezelésbe adásáról a Tulajdonosi Bizottság dönt. 50 millió forint értékhatárt meghaladóan a Képviselő-testület határoz (az Önkormányzat vagyonáról, a vagyontárgyak feletti tulajdonosi jogok gyakorlásáról szóló 16/1995. (XI. 30.) önkormányzati rendelet 20.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1.55. az olyan többszemélyes gazdasági társaságban, illetve közhasznú társaságban, amelyekben az Önkormányzat 25%-ot meghaladó tulajdoni részesedéssel rendelkezik, a társaság legfőbb szervének hatáskörébe tartozó kérdésekben a Tulajdonosi Bizottság a társasági döntést megelőzően dönt: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 az alapító okirat (társasági szerződés, alapszabály) megállapítása (jóváhagyása) és módosítása,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b) az alaptőke (törzstőke) felemelése és leszállítása,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c) pótbefizetés elrendelése és visszatérítése,</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d) az egyes részvényfajtákhoz fűződő jogok megváltoztatása,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e) a társaság más társasággal való összeolvadásának, beolvadásának és megszűnésének, valamint más társasági formába történő átalakulása elhatározása,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f) a Ptk. 3:124.§ és 3:125. §-ában foglaltak kivételével a felügyelőbizottság tagjai, valamint az igazgatóság és a könyvvizsgáló megválasztása, visszahívása, illetve díjazásának megállapítása,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g) a társaság vezető tisztségviselőjének kinevezése, megválasztása, visszahívása, díjazásának megállapítása,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h) a számviteli törvény szerinti beszámoló jóváhagyása és a nyereség felosztásáról való döntés, továbbá s középtávú üzleti terv elfogadása,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i) továbbá mindazokban a kérdésekben, melyekkel a polgármester, a társaság vezető tisztségviselője, felügyelő bizottsága és könyvvizsgálója a Tulajdonosi Bizottsághoz fordul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(az Önkormányzat vagyonáról, a vagyontárgyak feletti tulajdonosi jogok gyakorlásáról szóló 16/1995. (XI. 30.) önkormányzati rendelet 20. § (3)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lastRenderedPageBreak/>
        <w:t>1.56. természetes és jogi személy, illetve jogi személyiséggel nem rendelkező szervezettel szemben fennálló, behajthatatlannak nem minősülő követelésről való teljes vagy részbeni lemondásra csak abban az esetben van lehetőség, ha a követelés teljesítése valamilyen okból már nem áll az Önkormányzat érdekében. A követelés elengedésére (tőke + kamat) vagy mérséklésére 1 000 000 Ft és 5 000 000 Ft értékhatár közötti esetekben a Tulajdonosi Bizottság jogosult (az Önkormányzat vagyonáról, a vagyontárgyak feletti tulajdonosi jogok gyakorlásáról szóló 16/1995. (XI. 30.) önkormányzati rendelet 23. § (1) bekezdés b) pont),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1.57. természetes és jogi személy, illetve jogi személyiséggel nem rendelkező szervezet tartozása részletekben történő megfizetésének engedélyezésére (tőke+kamat) 3 000 000 Ft értékhatár alatt, legfeljebb 36 hónap törlesztési időtartamra vagy 3 000 000 Ft és 5 000 000 Ft értékhatár között, 12 hónapra a Tulajdonosi Bizottság, jogosult (az Önkormányzat vagyonáról, a vagyontárgyak feletti tulajdonosi jogok gyakorlásáról szóló 16/1995. (XI. 30.) önkormányzati rendelet 23. § (2)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1.58. a képviselő-testület a helyiségek elidegenítésével kapcsolatos rendelkezési jogait az e rendeletben szabályozottak szerint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 a polgármester,</w:t>
      </w:r>
    </w:p>
    <w:p w:rsidR="00164919" w:rsidRDefault="005C5AAF">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2. a </w:t>
      </w:r>
      <w:r w:rsidR="0023736E">
        <w:rPr>
          <w:rFonts w:ascii="Times" w:eastAsia="Times" w:hAnsi="Times" w:cs="Times"/>
        </w:rPr>
        <w:t>Tulajdonosi Bizottság közreműködésével gyakorolja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(a Budavári Önkormányzat tulajdonában lévő nem lakás céljára szolgáló helyiségek elidegenítésének szabályairól szóló 16/1994. (V. 13.) önkormányzati rendelet 2. § (1) bekezdés), </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1.59. a helyiség elidegenítésre történő kijelöléséről, továbbá eladásáról és egyéb módon történő elidegenítéséről (apportálásáról) a Polgármester kezdeményezésére – a Tulajdonosi Bizottság véleményének ismeretében – a Képviselő-testület határoz (a Budavári Önkormányzat tulajdonában lévő nem lakás céljára szolgáló helyiségek elidegenítésének szabályairól szóló 16/1994. (V. 13.) önkormányzati rendelet 3. § (1) bekezdés),</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1.60. a Gazdasági és Jogi Bizottság az önkormányzatnál és intézményeinél az éves költségvetési rendeletekben szabályozottak szerint dönt a bizottság hatáskörébe utalt előirányzatok felhasználásáról,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1.61. a Gazdasági és Jogi Bizottság véleményezi a fővárosi forrásmegosztást,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1.62. jóváhagyja a Budapest I. kerület Budavári Önkormányzat Gazdasági Műszaki Ellátó és Szolgáltató Szervezet házirendjét, illetve a módosítását,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1.63. a </w:t>
      </w:r>
      <w:r>
        <w:t>Népjóléti, Oktatási, Kulturális és Sport Bizottság</w:t>
      </w:r>
      <w:r>
        <w:rPr>
          <w:rFonts w:ascii="Times" w:eastAsia="Times" w:hAnsi="Times" w:cs="Times"/>
        </w:rPr>
        <w:t xml:space="preserve"> kijelöli a szociális intézmények ellátási területét,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1.64. a </w:t>
      </w:r>
      <w:r>
        <w:t>Népjóléti, Oktatási, Kulturális és Sport Bizottság j</w:t>
      </w:r>
      <w:r>
        <w:rPr>
          <w:rFonts w:ascii="Times" w:eastAsia="Times" w:hAnsi="Times" w:cs="Times"/>
        </w:rPr>
        <w:t>óváhagyja az egészségügyi, szociális és gyermekjóléti intézmények szervezeti és működési szabályzatát, valamint szakmai programját,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1.65. a </w:t>
      </w:r>
      <w:r>
        <w:t xml:space="preserve">Népjóléti, Oktatási, Kulturális és Sport Bizottság </w:t>
      </w:r>
      <w:r>
        <w:rPr>
          <w:rFonts w:ascii="Times" w:eastAsia="Times" w:hAnsi="Times" w:cs="Times"/>
        </w:rPr>
        <w:t>törvényben meghatározott esetekben, az önkormányzat által fenntartott személyes gondoskodást nyújtó szociális, gyermekjóléti, gyermekvédelmi intézmények házirendjét jóváhagyja,</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1.66. dönt a helyi támogatás visszafizetésének szüneteltetéséről, részbeni vagy teljes elengedéséről, illetve a törlesztőrészlet csökkentéséről,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lastRenderedPageBreak/>
        <w:t xml:space="preserve">1.67. a </w:t>
      </w:r>
      <w:r>
        <w:t>Népjóléti, Oktatási, Kulturális és Sport Bizottság j</w:t>
      </w:r>
      <w:r>
        <w:rPr>
          <w:rFonts w:ascii="Times" w:eastAsia="Times" w:hAnsi="Times" w:cs="Times"/>
        </w:rPr>
        <w:t>óváhagyja az Egyesített Bölcsődék téli- és nyári zárási tervét,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1.68. a </w:t>
      </w:r>
      <w:r>
        <w:t>Népjóléti, Oktatási, Kulturális és Sport Bizottság</w:t>
      </w:r>
      <w:r>
        <w:rPr>
          <w:rFonts w:ascii="Times" w:eastAsia="Times" w:hAnsi="Times" w:cs="Times"/>
        </w:rPr>
        <w:t xml:space="preserve"> jóváhagyja a fizetőköteles beteg által igénybevett egészségügyi szolgáltatás térítési díjait és a kerületi Egészségügyi Szolgálat térítési szabályzatát,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1.69. a Gazdasági és Jogi Bizottság az önkormányzat mindenkori költségvetésében jóváhagyott keret erejéig jóváhagyja az ágazathoz tartozó intézmények tárgyi eszköz beszerzési keretének felhasználását,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1.70. a </w:t>
      </w:r>
      <w:r>
        <w:t>Népjóléti, Oktatási, Kulturális és Sport Bizottság j</w:t>
      </w:r>
      <w:r>
        <w:rPr>
          <w:rFonts w:ascii="Times" w:eastAsia="Times" w:hAnsi="Times" w:cs="Times"/>
        </w:rPr>
        <w:t>óváhagyja az intézmények tárgyi eszköz beszerzési keretének, valamint intézmény felújítási tartalék felhasználását az Önkormányzat mindenkori költségvetésében jóváhagyott keret erejéig,</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1.71. a </w:t>
      </w:r>
      <w:r>
        <w:t>Népjóléti, Oktatási, Kulturális és Sport Bizottság e</w:t>
      </w:r>
      <w:r>
        <w:rPr>
          <w:rFonts w:ascii="Times" w:eastAsia="Times" w:hAnsi="Times" w:cs="Times"/>
        </w:rPr>
        <w:t>gyetértési joga van az SZMSZ, a házirend és a pedagógiai program azon rendelkezéseinek érvénybelépéséhez, amelyekből a fenntartóra, a működtetőre többletkötelezettség hárul. Az egyetértés kialakítására harminc nap áll rendelkezésre,</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1.72. a </w:t>
      </w:r>
      <w:r>
        <w:t>Népjóléti, Oktatási, Kulturális és Sport Bizottság e</w:t>
      </w:r>
      <w:r>
        <w:rPr>
          <w:rFonts w:ascii="Times" w:eastAsia="Times" w:hAnsi="Times" w:cs="Times"/>
        </w:rPr>
        <w:t>llenőrzi a pedagógiai programot, a házirendet, valamint a SZMSZ-t,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1.73. a </w:t>
      </w:r>
      <w:r>
        <w:t>Népjóléti, Oktatási, Kulturális és Sport Bizottság m</w:t>
      </w:r>
      <w:r>
        <w:rPr>
          <w:rFonts w:ascii="Times" w:eastAsia="Times" w:hAnsi="Times" w:cs="Times"/>
        </w:rPr>
        <w:t>eghatározza az óvoda felvételi körzetét, valamint az óvoda nyitva tartásának rendjét és gondoskodik a helyben szokásos módon történő közzétételéről,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1.74. a Népjóléti, Oktatási, Kulturális és Sport Bizottság kiírja a Bursa Hungarica Felsőoktatási Önkormányzati Ösztöndíjrendszer kerületi pályázatait, elfogadja a bírálati szabályzatot, elbírálja a pályázatokat és dönt az ösztöndíjak odaítéléséről,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1.75. a Népjóléti, Oktatási, Kulturális és Sport Bizottság dönt a pályázati sajáterő biztosításáról működési, illetve fejlesztési célú pályázatok esetében, 5 millió forint felett,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1.76. a </w:t>
      </w:r>
      <w:r>
        <w:t xml:space="preserve">Népjóléti, Oktatási, Kulturális és Sport Bizottság </w:t>
      </w:r>
      <w:r>
        <w:rPr>
          <w:rFonts w:ascii="Times" w:eastAsia="Times" w:hAnsi="Times" w:cs="Times"/>
        </w:rPr>
        <w:t>dönt az óvoda heti és éves nyitvatartási idejének meghatározásáról,</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 xml:space="preserve">1.77. a </w:t>
      </w:r>
      <w:r>
        <w:t xml:space="preserve">Népjóléti, Oktatási, Kulturális és Sport Bizottság </w:t>
      </w:r>
      <w:r>
        <w:rPr>
          <w:rFonts w:ascii="Times" w:eastAsia="Times" w:hAnsi="Times" w:cs="Times"/>
        </w:rPr>
        <w:t>jóváhagyja a közművelődési és sportintézmények szervezeti és működési szabályzatát, házirendjét, illetve azok módosítását,</w:t>
      </w:r>
    </w:p>
    <w:p w:rsidR="00164919" w:rsidRDefault="0023736E">
      <w:pPr>
        <w:pBdr>
          <w:left w:val="none" w:sz="0" w:space="11" w:color="000000"/>
          <w:right w:val="none" w:sz="0" w:space="11" w:color="000000"/>
        </w:pBdr>
        <w:spacing w:after="120"/>
        <w:ind w:firstLine="0"/>
        <w:rPr>
          <w:rFonts w:ascii="Times" w:eastAsia="Times" w:hAnsi="Times" w:cs="Times"/>
        </w:rPr>
      </w:pPr>
      <w:r>
        <w:rPr>
          <w:rFonts w:ascii="Times" w:eastAsia="Times" w:hAnsi="Times" w:cs="Times"/>
        </w:rPr>
        <w:t>1.78. a Városfejlesztési és Környezetvédelmi Bizottság dönt a településfejlesztési koncepció, integrált településfejlesztési stratégia, településrendezési eszközök, a településképi arculati kézikönyv és a településképi rendelet készítése vagy módosítása során a vélemények elfogadásáról és el nem fogadásáról,</w:t>
      </w:r>
    </w:p>
    <w:p w:rsidR="00164919" w:rsidRDefault="00164919">
      <w:pPr>
        <w:pBdr>
          <w:left w:val="none" w:sz="0" w:space="11" w:color="000000"/>
          <w:right w:val="none" w:sz="0" w:space="11" w:color="000000"/>
        </w:pBdr>
        <w:spacing w:after="120"/>
        <w:ind w:firstLine="0"/>
        <w:rPr>
          <w:rFonts w:ascii="Times" w:eastAsia="Times" w:hAnsi="Times" w:cs="Times"/>
        </w:rPr>
      </w:pPr>
    </w:p>
    <w:p w:rsidR="00164919" w:rsidRDefault="00164919">
      <w:pPr>
        <w:pBdr>
          <w:left w:val="none" w:sz="0" w:space="11" w:color="000000"/>
          <w:right w:val="none" w:sz="0" w:space="11" w:color="000000"/>
        </w:pBdr>
        <w:spacing w:after="120"/>
        <w:ind w:firstLine="0"/>
        <w:rPr>
          <w:rFonts w:ascii="Times" w:eastAsia="Times" w:hAnsi="Times" w:cs="Times"/>
        </w:rPr>
      </w:pPr>
    </w:p>
    <w:p w:rsidR="00164919" w:rsidRDefault="00164919">
      <w:pPr>
        <w:pBdr>
          <w:left w:val="none" w:sz="0" w:space="11" w:color="000000"/>
          <w:right w:val="none" w:sz="0" w:space="11" w:color="000000"/>
        </w:pBdr>
        <w:spacing w:after="120"/>
        <w:ind w:firstLine="0"/>
        <w:rPr>
          <w:rFonts w:ascii="Times" w:eastAsia="Times" w:hAnsi="Times" w:cs="Times"/>
        </w:rPr>
      </w:pPr>
    </w:p>
    <w:p w:rsidR="00164919" w:rsidRDefault="00164919">
      <w:pPr>
        <w:pBdr>
          <w:left w:val="none" w:sz="0" w:space="11" w:color="000000"/>
          <w:right w:val="none" w:sz="0" w:space="11" w:color="000000"/>
        </w:pBdr>
        <w:spacing w:after="120"/>
        <w:ind w:firstLine="0"/>
        <w:rPr>
          <w:rFonts w:ascii="Times" w:eastAsia="Times" w:hAnsi="Times" w:cs="Times"/>
        </w:rPr>
      </w:pPr>
    </w:p>
    <w:p w:rsidR="00F52B80" w:rsidRDefault="00F52B80" w:rsidP="00916F27">
      <w:pPr>
        <w:spacing w:line="240" w:lineRule="auto"/>
        <w:ind w:firstLine="0"/>
      </w:pPr>
    </w:p>
    <w:sectPr w:rsidR="00F52B80" w:rsidSect="003912D5">
      <w:headerReference w:type="even" r:id="rId8"/>
      <w:headerReference w:type="default" r:id="rId9"/>
      <w:footerReference w:type="default" r:id="rId10"/>
      <w:headerReference w:type="first" r:id="rId11"/>
      <w:pgSz w:w="12240" w:h="15840" w:code="1"/>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D21" w:rsidRDefault="007D1D21">
      <w:pPr>
        <w:spacing w:after="0" w:line="240" w:lineRule="auto"/>
      </w:pPr>
      <w:r>
        <w:separator/>
      </w:r>
    </w:p>
  </w:endnote>
  <w:endnote w:type="continuationSeparator" w:id="1">
    <w:p w:rsidR="007D1D21" w:rsidRDefault="007D1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08" w:rsidRDefault="009D5C08">
    <w:pPr>
      <w:widowControl w:val="0"/>
      <w:pBdr>
        <w:top w:val="nil"/>
        <w:left w:val="nil"/>
        <w:bottom w:val="nil"/>
        <w:right w:val="nil"/>
        <w:between w:val="nil"/>
      </w:pBdr>
      <w:spacing w:after="0" w:line="276" w:lineRule="auto"/>
      <w:ind w:firstLine="0"/>
      <w:jc w:val="left"/>
      <w:rPr>
        <w:i/>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D21" w:rsidRDefault="007D1D21">
      <w:pPr>
        <w:spacing w:after="0" w:line="240" w:lineRule="auto"/>
      </w:pPr>
      <w:r>
        <w:separator/>
      </w:r>
    </w:p>
  </w:footnote>
  <w:footnote w:type="continuationSeparator" w:id="1">
    <w:p w:rsidR="007D1D21" w:rsidRDefault="007D1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08" w:rsidRDefault="009D5C08">
    <w:pPr>
      <w:pBdr>
        <w:top w:val="nil"/>
        <w:left w:val="nil"/>
        <w:bottom w:val="nil"/>
        <w:right w:val="nil"/>
        <w:between w:val="nil"/>
      </w:pBdr>
      <w:tabs>
        <w:tab w:val="center" w:pos="4703"/>
        <w:tab w:val="right" w:pos="9406"/>
      </w:tabs>
      <w:spacing w:after="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08" w:rsidRDefault="009D5C08">
    <w:pPr>
      <w:pBdr>
        <w:top w:val="nil"/>
        <w:left w:val="nil"/>
        <w:bottom w:val="nil"/>
        <w:right w:val="nil"/>
        <w:between w:val="nil"/>
      </w:pBdr>
      <w:tabs>
        <w:tab w:val="center" w:pos="4703"/>
        <w:tab w:val="right" w:pos="9406"/>
      </w:tabs>
      <w:spacing w:after="0"/>
      <w:ind w:firstLine="0"/>
      <w:jc w:val="left"/>
      <w:rPr>
        <w:color w:val="00000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08" w:rsidRDefault="009D5C08">
    <w:pPr>
      <w:pBdr>
        <w:top w:val="nil"/>
        <w:left w:val="nil"/>
        <w:bottom w:val="nil"/>
        <w:right w:val="nil"/>
        <w:between w:val="nil"/>
      </w:pBdr>
      <w:tabs>
        <w:tab w:val="center" w:pos="4703"/>
        <w:tab w:val="right" w:pos="9406"/>
      </w:tabs>
      <w:spacing w:after="0"/>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3B3"/>
    <w:multiLevelType w:val="multilevel"/>
    <w:tmpl w:val="186438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7C14F38"/>
    <w:multiLevelType w:val="multilevel"/>
    <w:tmpl w:val="A85C5E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32A40B26"/>
    <w:multiLevelType w:val="hybridMultilevel"/>
    <w:tmpl w:val="24507D48"/>
    <w:lvl w:ilvl="0" w:tplc="7BD04C5E">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8AD038A"/>
    <w:multiLevelType w:val="hybridMultilevel"/>
    <w:tmpl w:val="F544DF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8A46E5D"/>
    <w:multiLevelType w:val="multilevel"/>
    <w:tmpl w:val="7ECCB6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49C13623"/>
    <w:multiLevelType w:val="hybridMultilevel"/>
    <w:tmpl w:val="7352A7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BE01630"/>
    <w:multiLevelType w:val="hybridMultilevel"/>
    <w:tmpl w:val="B2560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CD4047F"/>
    <w:multiLevelType w:val="hybridMultilevel"/>
    <w:tmpl w:val="50DC72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3447FED"/>
    <w:multiLevelType w:val="hybridMultilevel"/>
    <w:tmpl w:val="19CCE9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F752A79"/>
    <w:multiLevelType w:val="multilevel"/>
    <w:tmpl w:val="25744E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BA53DFC"/>
    <w:multiLevelType w:val="multilevel"/>
    <w:tmpl w:val="71C62A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10"/>
  </w:num>
  <w:num w:numId="4">
    <w:abstractNumId w:val="9"/>
  </w:num>
  <w:num w:numId="5">
    <w:abstractNumId w:val="4"/>
  </w:num>
  <w:num w:numId="6">
    <w:abstractNumId w:val="2"/>
  </w:num>
  <w:num w:numId="7">
    <w:abstractNumId w:val="6"/>
  </w:num>
  <w:num w:numId="8">
    <w:abstractNumId w:val="3"/>
  </w:num>
  <w:num w:numId="9">
    <w:abstractNumId w:val="8"/>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6" w:nlCheck="1" w:checkStyle="1"/>
  <w:activeWritingStyle w:appName="MSWord" w:lang="hu-HU" w:vendorID="64" w:dllVersion="0" w:nlCheck="1" w:checkStyle="0"/>
  <w:stylePaneFormatFilter w:val="1021"/>
  <w:defaultTabStop w:val="720"/>
  <w:hyphenationZone w:val="425"/>
  <w:characterSpacingControl w:val="doNotCompress"/>
  <w:footnotePr>
    <w:footnote w:id="0"/>
    <w:footnote w:id="1"/>
  </w:footnotePr>
  <w:endnotePr>
    <w:endnote w:id="0"/>
    <w:endnote w:id="1"/>
  </w:endnotePr>
  <w:compat/>
  <w:rsids>
    <w:rsidRoot w:val="00164919"/>
    <w:rsid w:val="000B22BC"/>
    <w:rsid w:val="000D4BC5"/>
    <w:rsid w:val="00106232"/>
    <w:rsid w:val="00155894"/>
    <w:rsid w:val="00164919"/>
    <w:rsid w:val="00166A45"/>
    <w:rsid w:val="001937AA"/>
    <w:rsid w:val="0023736E"/>
    <w:rsid w:val="002B73F7"/>
    <w:rsid w:val="003912D5"/>
    <w:rsid w:val="0043059B"/>
    <w:rsid w:val="005A2ABF"/>
    <w:rsid w:val="005C5AAF"/>
    <w:rsid w:val="00660189"/>
    <w:rsid w:val="0066268B"/>
    <w:rsid w:val="006806A7"/>
    <w:rsid w:val="006E35AC"/>
    <w:rsid w:val="007D1D21"/>
    <w:rsid w:val="007E2F44"/>
    <w:rsid w:val="007F1F36"/>
    <w:rsid w:val="00820599"/>
    <w:rsid w:val="00916F27"/>
    <w:rsid w:val="00927AA8"/>
    <w:rsid w:val="009D5C08"/>
    <w:rsid w:val="00A42477"/>
    <w:rsid w:val="00B31332"/>
    <w:rsid w:val="00B962F1"/>
    <w:rsid w:val="00BF2EAF"/>
    <w:rsid w:val="00C35B47"/>
    <w:rsid w:val="00C50B72"/>
    <w:rsid w:val="00DE7E67"/>
    <w:rsid w:val="00E05256"/>
    <w:rsid w:val="00E35718"/>
    <w:rsid w:val="00E50F62"/>
    <w:rsid w:val="00EA499C"/>
    <w:rsid w:val="00F52B80"/>
    <w:rsid w:val="00F77D3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hu-HU" w:bidi="ar-SA"/>
      </w:rPr>
    </w:rPrDefault>
    <w:pPrDefault>
      <w:pPr>
        <w:spacing w:after="80"/>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6806A7"/>
    <w:pPr>
      <w:spacing w:line="280" w:lineRule="atLeast"/>
    </w:pPr>
    <w:rPr>
      <w:noProof/>
      <w:lang w:val="hu-HU"/>
    </w:rPr>
  </w:style>
  <w:style w:type="paragraph" w:styleId="Cmsor1">
    <w:name w:val="heading 1"/>
    <w:basedOn w:val="Norml"/>
    <w:next w:val="Norml"/>
    <w:rsid w:val="00166A45"/>
    <w:pPr>
      <w:keepNext/>
      <w:keepLines/>
      <w:spacing w:before="720" w:after="480"/>
      <w:jc w:val="center"/>
      <w:outlineLvl w:val="0"/>
    </w:pPr>
    <w:rPr>
      <w:b/>
    </w:rPr>
  </w:style>
  <w:style w:type="paragraph" w:styleId="Cmsor2">
    <w:name w:val="heading 2"/>
    <w:basedOn w:val="Norml"/>
    <w:next w:val="Norml"/>
    <w:rsid w:val="00166A45"/>
    <w:pPr>
      <w:keepNext/>
      <w:keepLines/>
      <w:spacing w:before="360"/>
      <w:outlineLvl w:val="1"/>
    </w:pPr>
    <w:rPr>
      <w:b/>
      <w:sz w:val="36"/>
      <w:szCs w:val="36"/>
    </w:rPr>
  </w:style>
  <w:style w:type="paragraph" w:styleId="Cmsor3">
    <w:name w:val="heading 3"/>
    <w:basedOn w:val="Norml"/>
    <w:next w:val="Norml"/>
    <w:rsid w:val="00166A45"/>
    <w:pPr>
      <w:keepNext/>
      <w:keepLines/>
      <w:spacing w:before="280"/>
      <w:outlineLvl w:val="2"/>
    </w:pPr>
    <w:rPr>
      <w:b/>
      <w:sz w:val="28"/>
      <w:szCs w:val="28"/>
    </w:rPr>
  </w:style>
  <w:style w:type="paragraph" w:styleId="Cmsor4">
    <w:name w:val="heading 4"/>
    <w:basedOn w:val="Norml"/>
    <w:next w:val="Norml"/>
    <w:rsid w:val="00166A45"/>
    <w:pPr>
      <w:keepNext/>
      <w:keepLines/>
      <w:spacing w:before="240" w:after="40"/>
      <w:outlineLvl w:val="3"/>
    </w:pPr>
    <w:rPr>
      <w:b/>
    </w:rPr>
  </w:style>
  <w:style w:type="paragraph" w:styleId="Cmsor5">
    <w:name w:val="heading 5"/>
    <w:basedOn w:val="Norml"/>
    <w:next w:val="Norml"/>
    <w:rsid w:val="00166A45"/>
    <w:pPr>
      <w:keepNext/>
      <w:keepLines/>
      <w:spacing w:before="220" w:after="40"/>
      <w:outlineLvl w:val="4"/>
    </w:pPr>
    <w:rPr>
      <w:b/>
      <w:sz w:val="22"/>
      <w:szCs w:val="22"/>
    </w:rPr>
  </w:style>
  <w:style w:type="paragraph" w:styleId="Cmsor6">
    <w:name w:val="heading 6"/>
    <w:basedOn w:val="Norml"/>
    <w:next w:val="Norml"/>
    <w:rsid w:val="00166A4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166A45"/>
    <w:tblPr>
      <w:tblCellMar>
        <w:top w:w="0" w:type="dxa"/>
        <w:left w:w="0" w:type="dxa"/>
        <w:bottom w:w="0" w:type="dxa"/>
        <w:right w:w="0" w:type="dxa"/>
      </w:tblCellMar>
    </w:tblPr>
  </w:style>
  <w:style w:type="paragraph" w:styleId="Cm">
    <w:name w:val="Title"/>
    <w:basedOn w:val="Norml"/>
    <w:next w:val="Norml"/>
    <w:rsid w:val="00386BF6"/>
    <w:pPr>
      <w:keepNext/>
      <w:keepLines/>
      <w:spacing w:before="600" w:after="240"/>
      <w:jc w:val="center"/>
    </w:pPr>
    <w:rPr>
      <w:b/>
      <w:szCs w:val="72"/>
    </w:rPr>
  </w:style>
  <w:style w:type="table" w:customStyle="1" w:styleId="TableNormal0">
    <w:name w:val="Table Normal"/>
    <w:rsid w:val="00166A45"/>
    <w:tblPr>
      <w:tblCellMar>
        <w:top w:w="0" w:type="dxa"/>
        <w:left w:w="0" w:type="dxa"/>
        <w:bottom w:w="0" w:type="dxa"/>
        <w:right w:w="0" w:type="dxa"/>
      </w:tblCellMar>
    </w:tblPr>
  </w:style>
  <w:style w:type="paragraph" w:styleId="Alcm">
    <w:name w:val="Subtitle"/>
    <w:basedOn w:val="Norml"/>
    <w:next w:val="Norml"/>
    <w:rsid w:val="00166A45"/>
    <w:pPr>
      <w:keepNext/>
      <w:keepLines/>
      <w:spacing w:before="720" w:after="360"/>
      <w:jc w:val="center"/>
    </w:pPr>
    <w:rPr>
      <w:b/>
    </w:rPr>
  </w:style>
  <w:style w:type="table" w:customStyle="1" w:styleId="a">
    <w:basedOn w:val="TableNormal0"/>
    <w:rsid w:val="00166A45"/>
    <w:tblPr>
      <w:tblStyleRowBandSize w:val="1"/>
      <w:tblStyleColBandSize w:val="1"/>
      <w:tblCellMar>
        <w:top w:w="0" w:type="dxa"/>
        <w:left w:w="108" w:type="dxa"/>
        <w:bottom w:w="0" w:type="dxa"/>
        <w:right w:w="108" w:type="dxa"/>
      </w:tblCellMar>
    </w:tblPr>
  </w:style>
  <w:style w:type="table" w:customStyle="1" w:styleId="a0">
    <w:basedOn w:val="TableNormal0"/>
    <w:rsid w:val="00166A45"/>
    <w:tblPr>
      <w:tblStyleRowBandSize w:val="1"/>
      <w:tblStyleColBandSize w:val="1"/>
      <w:tblCellMar>
        <w:top w:w="100" w:type="dxa"/>
        <w:left w:w="100" w:type="dxa"/>
        <w:bottom w:w="100" w:type="dxa"/>
        <w:right w:w="100" w:type="dxa"/>
      </w:tblCellMar>
    </w:tblPr>
  </w:style>
  <w:style w:type="table" w:customStyle="1" w:styleId="a1">
    <w:basedOn w:val="TableNormal0"/>
    <w:rsid w:val="00166A45"/>
    <w:tblPr>
      <w:tblStyleRowBandSize w:val="1"/>
      <w:tblStyleColBandSize w:val="1"/>
      <w:tblCellMar>
        <w:top w:w="100" w:type="dxa"/>
        <w:left w:w="100" w:type="dxa"/>
        <w:bottom w:w="100" w:type="dxa"/>
        <w:right w:w="100" w:type="dxa"/>
      </w:tblCellMar>
    </w:tblPr>
  </w:style>
  <w:style w:type="paragraph" w:styleId="Jegyzetszveg">
    <w:name w:val="annotation text"/>
    <w:basedOn w:val="Norml"/>
    <w:link w:val="JegyzetszvegChar"/>
    <w:uiPriority w:val="99"/>
    <w:semiHidden/>
    <w:unhideWhenUsed/>
    <w:rsid w:val="00166A45"/>
    <w:rPr>
      <w:sz w:val="20"/>
      <w:szCs w:val="20"/>
    </w:rPr>
  </w:style>
  <w:style w:type="character" w:customStyle="1" w:styleId="JegyzetszvegChar">
    <w:name w:val="Jegyzetszöveg Char"/>
    <w:basedOn w:val="Bekezdsalapbettpusa"/>
    <w:link w:val="Jegyzetszveg"/>
    <w:uiPriority w:val="99"/>
    <w:semiHidden/>
    <w:rsid w:val="00166A45"/>
    <w:rPr>
      <w:sz w:val="20"/>
      <w:szCs w:val="20"/>
    </w:rPr>
  </w:style>
  <w:style w:type="character" w:styleId="Jegyzethivatkozs">
    <w:name w:val="annotation reference"/>
    <w:basedOn w:val="Bekezdsalapbettpusa"/>
    <w:uiPriority w:val="99"/>
    <w:semiHidden/>
    <w:unhideWhenUsed/>
    <w:rsid w:val="00166A45"/>
    <w:rPr>
      <w:sz w:val="16"/>
      <w:szCs w:val="16"/>
    </w:rPr>
  </w:style>
  <w:style w:type="paragraph" w:styleId="Buborkszveg">
    <w:name w:val="Balloon Text"/>
    <w:basedOn w:val="Norml"/>
    <w:link w:val="BuborkszvegChar"/>
    <w:uiPriority w:val="99"/>
    <w:semiHidden/>
    <w:unhideWhenUsed/>
    <w:rsid w:val="00E443A1"/>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43A1"/>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C60915"/>
    <w:pPr>
      <w:spacing w:line="240" w:lineRule="auto"/>
    </w:pPr>
    <w:rPr>
      <w:b/>
      <w:bCs/>
    </w:rPr>
  </w:style>
  <w:style w:type="character" w:customStyle="1" w:styleId="MegjegyzstrgyaChar">
    <w:name w:val="Megjegyzés tárgya Char"/>
    <w:basedOn w:val="JegyzetszvegChar"/>
    <w:link w:val="Megjegyzstrgya"/>
    <w:uiPriority w:val="99"/>
    <w:semiHidden/>
    <w:rsid w:val="00C60915"/>
    <w:rPr>
      <w:b/>
      <w:bCs/>
      <w:sz w:val="20"/>
      <w:szCs w:val="20"/>
    </w:rPr>
  </w:style>
  <w:style w:type="paragraph" w:styleId="llb">
    <w:name w:val="footer"/>
    <w:basedOn w:val="Norml"/>
    <w:link w:val="llbChar"/>
    <w:uiPriority w:val="99"/>
    <w:unhideWhenUsed/>
    <w:rsid w:val="007E2CA0"/>
    <w:pPr>
      <w:tabs>
        <w:tab w:val="center" w:pos="4536"/>
        <w:tab w:val="right" w:pos="9072"/>
      </w:tabs>
      <w:spacing w:after="0" w:line="240" w:lineRule="auto"/>
    </w:pPr>
  </w:style>
  <w:style w:type="character" w:customStyle="1" w:styleId="llbChar">
    <w:name w:val="Élőláb Char"/>
    <w:basedOn w:val="Bekezdsalapbettpusa"/>
    <w:link w:val="llb"/>
    <w:uiPriority w:val="99"/>
    <w:rsid w:val="007E2CA0"/>
  </w:style>
  <w:style w:type="character" w:styleId="Hiperhivatkozs">
    <w:name w:val="Hyperlink"/>
    <w:basedOn w:val="Bekezdsalapbettpusa"/>
    <w:uiPriority w:val="99"/>
    <w:unhideWhenUsed/>
    <w:rsid w:val="00404F02"/>
    <w:rPr>
      <w:color w:val="0000FF" w:themeColor="hyperlink"/>
      <w:u w:val="single"/>
    </w:rPr>
  </w:style>
  <w:style w:type="character" w:styleId="Mrltotthiperhivatkozs">
    <w:name w:val="FollowedHyperlink"/>
    <w:basedOn w:val="Bekezdsalapbettpusa"/>
    <w:uiPriority w:val="99"/>
    <w:semiHidden/>
    <w:unhideWhenUsed/>
    <w:rsid w:val="006421F8"/>
    <w:rPr>
      <w:color w:val="800080" w:themeColor="followedHyperlink"/>
      <w:u w:val="single"/>
    </w:rPr>
  </w:style>
  <w:style w:type="table" w:customStyle="1" w:styleId="a2">
    <w:basedOn w:val="TableNormal0"/>
    <w:rsid w:val="00166A45"/>
    <w:tblPr>
      <w:tblStyleRowBandSize w:val="1"/>
      <w:tblStyleColBandSize w:val="1"/>
      <w:tblCellMar>
        <w:top w:w="100" w:type="dxa"/>
        <w:left w:w="100" w:type="dxa"/>
        <w:bottom w:w="100" w:type="dxa"/>
        <w:right w:w="100" w:type="dxa"/>
      </w:tblCellMar>
    </w:tblPr>
  </w:style>
  <w:style w:type="table" w:customStyle="1" w:styleId="a3">
    <w:basedOn w:val="TableNormal0"/>
    <w:rsid w:val="00166A45"/>
    <w:tblPr>
      <w:tblStyleRowBandSize w:val="1"/>
      <w:tblStyleColBandSize w:val="1"/>
      <w:tblCellMar>
        <w:top w:w="100" w:type="dxa"/>
        <w:left w:w="100" w:type="dxa"/>
        <w:bottom w:w="100" w:type="dxa"/>
        <w:right w:w="100" w:type="dxa"/>
      </w:tblCellMar>
    </w:tblPr>
  </w:style>
  <w:style w:type="table" w:customStyle="1" w:styleId="a4">
    <w:basedOn w:val="TableNormal0"/>
    <w:rsid w:val="00166A45"/>
    <w:tblPr>
      <w:tblStyleRowBandSize w:val="1"/>
      <w:tblStyleColBandSize w:val="1"/>
      <w:tblCellMar>
        <w:top w:w="100" w:type="dxa"/>
        <w:left w:w="100" w:type="dxa"/>
        <w:bottom w:w="100" w:type="dxa"/>
        <w:right w:w="100" w:type="dxa"/>
      </w:tblCellMar>
    </w:tblPr>
  </w:style>
  <w:style w:type="paragraph" w:styleId="Listaszerbekezds">
    <w:name w:val="List Paragraph"/>
    <w:basedOn w:val="Norml"/>
    <w:uiPriority w:val="34"/>
    <w:qFormat/>
    <w:rsid w:val="00F52B80"/>
    <w:pPr>
      <w:spacing w:after="0" w:line="240" w:lineRule="auto"/>
      <w:ind w:left="720" w:hanging="357"/>
      <w:contextualSpacing/>
    </w:pPr>
    <w:rPr>
      <w:rFonts w:ascii="Calibri" w:hAnsi="Calibri"/>
      <w:noProof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h9pj1UUYePimprJKiH62iOUnkQ==">AMUW2mVjsmGHsS9tpLy7HwEbowV2Tquy8vL9b8o8HaxlEO7xF30f+j3ZjcCXMq9jNG/AneWrXhmwiAaATkqBYYIxPz5FeNnqgt68dWp0HTx1VbfgtAL3uM9hmX04p+PObHriqiLnQWvddCPQfjLXfkJYJXirgoOobK+UtYiYSq47VSpuBgNNIsxBW6ZZLoLSQtl4Mj5yv4z1bjFxbf3i098hxqHtoxVFEGcuOCwjKBCjIhmLRvqGVCv2DOqKokCsn19wiW2KZdpRcuhxy7KHrhXaJfn5mkRkJTQj22NzBGZ1JsyOn0mG5i4ZlU51x6q4GF/pZNBJXBUgfn9bURob+rYazPzey3MN8wt2J9TQdk7jaw4HZR/9NERzVuC8m8D75aNTUyXuS2mNRCsNhhUOwB3acJ/8gBXgl6jMFHD1QfN+Ae3k1Srum3pUOCIfoY6jv1JptKfMibIAzI4QOdizn8MVRfWBmx3t45ICNLarZt12iU4mDbyBTJt+8Ui6mqsKip24y7vGO+XO0IgUTYnRQ1nI771enBARc7qGc2LCrrtYNA0NUWfHdZ5wnAaLGt1S3iAMooveFw3Ff/NjG04sq9Y+TyolRVukAJq4RQlxgAuJTiMsSGLU3uQcEZx2u8Nc52zdDAqXCGdrCdtjubdTizvFEAIOxuvoODsKgab2Tcp2E3PgD4KG6PniFiFGqq8ScRVeJ5v8NN5mgLt8uBqWZHBWrMh3uY6MXSWTyMth6uof1Dr13Aac6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4025</Words>
  <Characters>27777</Characters>
  <Application>Microsoft Office Word</Application>
  <DocSecurity>0</DocSecurity>
  <Lines>231</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Vetítés</dc:creator>
  <cp:lastModifiedBy>Noémi</cp:lastModifiedBy>
  <cp:revision>4</cp:revision>
  <cp:lastPrinted>2019-11-29T17:12:00Z</cp:lastPrinted>
  <dcterms:created xsi:type="dcterms:W3CDTF">2019-12-09T23:17:00Z</dcterms:created>
  <dcterms:modified xsi:type="dcterms:W3CDTF">2019-12-09T23:20:00Z</dcterms:modified>
</cp:coreProperties>
</file>