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89" w:rsidRDefault="00214D89" w:rsidP="00214D89">
      <w:pPr>
        <w:tabs>
          <w:tab w:val="center" w:pos="1701"/>
          <w:tab w:val="center" w:pos="6804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Általános indoklás</w:t>
      </w:r>
    </w:p>
    <w:p w:rsidR="00214D89" w:rsidRDefault="00214D89" w:rsidP="00214D89">
      <w:pPr>
        <w:tabs>
          <w:tab w:val="center" w:pos="1701"/>
          <w:tab w:val="center" w:pos="6804"/>
        </w:tabs>
        <w:jc w:val="center"/>
        <w:rPr>
          <w:rFonts w:ascii="Times New Roman" w:hAnsi="Times New Roman"/>
          <w:b/>
        </w:rPr>
      </w:pPr>
    </w:p>
    <w:p w:rsidR="00214D89" w:rsidRDefault="00214D89" w:rsidP="00214D89">
      <w:pPr>
        <w:tabs>
          <w:tab w:val="center" w:pos="1701"/>
          <w:tab w:val="center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államháztartásról szóló 2011. évi CXCV. törvény 34. § (1)-(5) bekezdésében foglaltak szerint, a helyi önkormányzat költségvetési rendeletét módosíthatja. </w:t>
      </w:r>
    </w:p>
    <w:p w:rsidR="00214D89" w:rsidRDefault="00214D89" w:rsidP="00214D89">
      <w:pPr>
        <w:rPr>
          <w:rFonts w:ascii="Times New Roman" w:hAnsi="Times New Roman"/>
          <w:b/>
          <w:sz w:val="32"/>
        </w:rPr>
      </w:pPr>
    </w:p>
    <w:p w:rsidR="00214D89" w:rsidRDefault="00214D89" w:rsidP="00214D89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</w:rPr>
        <w:t xml:space="preserve">Az Önkormányzat </w:t>
      </w:r>
      <w:r w:rsidR="00C77B67">
        <w:rPr>
          <w:rFonts w:ascii="Times New Roman" w:hAnsi="Times New Roman"/>
        </w:rPr>
        <w:t>Polgármesterének</w:t>
      </w:r>
      <w:r>
        <w:rPr>
          <w:rFonts w:ascii="Times New Roman" w:hAnsi="Times New Roman"/>
        </w:rPr>
        <w:t xml:space="preserve"> az Alaptörvény 32. cikk (2) bekezdésében meghatározott eredeti jogalkotói hatáskörében, az Alaptörvény 32. cikk (1) bekezdés f) pontjában meghatározott feladatkörében eljárva rendeletet alkot </w:t>
      </w:r>
      <w:r w:rsidR="00DB0D80">
        <w:rPr>
          <w:rFonts w:ascii="Times New Roman" w:hAnsi="Times New Roman"/>
        </w:rPr>
        <w:t>Tardona</w:t>
      </w:r>
      <w:r>
        <w:rPr>
          <w:rFonts w:ascii="Times New Roman" w:hAnsi="Times New Roman"/>
        </w:rPr>
        <w:t xml:space="preserve"> Község Önkormányzata 201</w:t>
      </w:r>
      <w:r w:rsidR="002A1DF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évi költségvetési rendeletének módosításáról. </w:t>
      </w:r>
      <w:r w:rsidR="00D361D6">
        <w:rPr>
          <w:rFonts w:ascii="Times New Roman" w:hAnsi="Times New Roman"/>
        </w:rPr>
        <w:t>A módosítás indoka, hogy a 201</w:t>
      </w:r>
      <w:r w:rsidR="002A1DFD">
        <w:rPr>
          <w:rFonts w:ascii="Times New Roman" w:hAnsi="Times New Roman"/>
        </w:rPr>
        <w:t>9</w:t>
      </w:r>
      <w:r w:rsidR="00D361D6">
        <w:rPr>
          <w:rFonts w:ascii="Times New Roman" w:hAnsi="Times New Roman"/>
        </w:rPr>
        <w:t xml:space="preserve">. évi költségvetés kiadási és bevételi oldalának fő összege </w:t>
      </w:r>
      <w:r w:rsidR="002A1DFD">
        <w:rPr>
          <w:rFonts w:ascii="Times New Roman" w:hAnsi="Times New Roman"/>
        </w:rPr>
        <w:t>164.032.575</w:t>
      </w:r>
      <w:r w:rsidR="00DB0D80">
        <w:t>,</w:t>
      </w:r>
      <w:r w:rsidR="00D361D6">
        <w:rPr>
          <w:rFonts w:ascii="Times New Roman" w:hAnsi="Times New Roman"/>
        </w:rPr>
        <w:t xml:space="preserve">- Ft-ra </w:t>
      </w:r>
      <w:proofErr w:type="gramStart"/>
      <w:r w:rsidR="00D361D6">
        <w:rPr>
          <w:rFonts w:ascii="Times New Roman" w:hAnsi="Times New Roman"/>
        </w:rPr>
        <w:t>módosul</w:t>
      </w:r>
      <w:r w:rsidR="00DB0D80">
        <w:rPr>
          <w:rFonts w:ascii="Times New Roman" w:hAnsi="Times New Roman"/>
        </w:rPr>
        <w:t xml:space="preserve"> </w:t>
      </w:r>
      <w:r w:rsidR="00E466C6">
        <w:rPr>
          <w:rFonts w:ascii="Times New Roman" w:hAnsi="Times New Roman"/>
        </w:rPr>
        <w:t>,a</w:t>
      </w:r>
      <w:proofErr w:type="gramEnd"/>
      <w:r w:rsidR="00E466C6">
        <w:rPr>
          <w:rFonts w:ascii="Times New Roman" w:hAnsi="Times New Roman"/>
        </w:rPr>
        <w:t xml:space="preserve"> módosítás a támogatások ö</w:t>
      </w:r>
      <w:r w:rsidR="00DB0D80">
        <w:rPr>
          <w:rFonts w:ascii="Times New Roman" w:hAnsi="Times New Roman"/>
        </w:rPr>
        <w:t>sszeg</w:t>
      </w:r>
      <w:r w:rsidR="002B08FB">
        <w:rPr>
          <w:rFonts w:ascii="Times New Roman" w:hAnsi="Times New Roman"/>
        </w:rPr>
        <w:t>ével</w:t>
      </w:r>
      <w:r w:rsidR="00DB0D80">
        <w:rPr>
          <w:rFonts w:ascii="Times New Roman" w:hAnsi="Times New Roman"/>
        </w:rPr>
        <w:t xml:space="preserve"> </w:t>
      </w:r>
      <w:r w:rsidR="002A1DFD">
        <w:rPr>
          <w:rFonts w:ascii="Times New Roman" w:hAnsi="Times New Roman"/>
        </w:rPr>
        <w:t>57.890.412</w:t>
      </w:r>
      <w:r w:rsidR="00DB0D80">
        <w:rPr>
          <w:rFonts w:ascii="Times New Roman" w:hAnsi="Times New Roman"/>
        </w:rPr>
        <w:t>,- Ft.</w:t>
      </w:r>
    </w:p>
    <w:p w:rsidR="00214D89" w:rsidRDefault="00214D89" w:rsidP="00214D89">
      <w:pPr>
        <w:jc w:val="center"/>
        <w:rPr>
          <w:rFonts w:ascii="Times New Roman" w:hAnsi="Times New Roman"/>
          <w:b/>
          <w:sz w:val="32"/>
        </w:rPr>
      </w:pPr>
    </w:p>
    <w:p w:rsidR="00214D89" w:rsidRDefault="000C69ED" w:rsidP="00214D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214D89">
        <w:rPr>
          <w:rFonts w:ascii="Times New Roman" w:hAnsi="Times New Roman"/>
          <w:b/>
        </w:rPr>
        <w:t>z önkormányzat 201</w:t>
      </w:r>
      <w:r w:rsidR="002A1DFD">
        <w:rPr>
          <w:rFonts w:ascii="Times New Roman" w:hAnsi="Times New Roman"/>
          <w:b/>
        </w:rPr>
        <w:t>9</w:t>
      </w:r>
      <w:r w:rsidR="00214D89">
        <w:rPr>
          <w:rFonts w:ascii="Times New Roman" w:hAnsi="Times New Roman"/>
          <w:b/>
        </w:rPr>
        <w:t xml:space="preserve">. évi költségvetéséről </w:t>
      </w:r>
      <w:proofErr w:type="gramStart"/>
      <w:r w:rsidR="00214D89">
        <w:rPr>
          <w:rFonts w:ascii="Times New Roman" w:hAnsi="Times New Roman"/>
          <w:b/>
        </w:rPr>
        <w:t>szóló</w:t>
      </w:r>
      <w:r w:rsidR="00673253">
        <w:rPr>
          <w:rFonts w:ascii="Times New Roman" w:hAnsi="Times New Roman"/>
          <w:b/>
        </w:rPr>
        <w:t xml:space="preserve">  </w:t>
      </w:r>
      <w:r w:rsidR="002A1DFD">
        <w:rPr>
          <w:rFonts w:ascii="Times New Roman" w:hAnsi="Times New Roman"/>
          <w:b/>
        </w:rPr>
        <w:t>3</w:t>
      </w:r>
      <w:proofErr w:type="gramEnd"/>
      <w:r w:rsidR="00214D89">
        <w:rPr>
          <w:rFonts w:ascii="Times New Roman" w:hAnsi="Times New Roman"/>
          <w:b/>
        </w:rPr>
        <w:t>/201</w:t>
      </w:r>
      <w:r w:rsidR="002A1DFD">
        <w:rPr>
          <w:rFonts w:ascii="Times New Roman" w:hAnsi="Times New Roman"/>
          <w:b/>
        </w:rPr>
        <w:t>9</w:t>
      </w:r>
      <w:r w:rsidR="00D361D6">
        <w:rPr>
          <w:rFonts w:ascii="Times New Roman" w:hAnsi="Times New Roman"/>
          <w:b/>
        </w:rPr>
        <w:t>. (II. 1</w:t>
      </w:r>
      <w:r w:rsidR="00882C25">
        <w:rPr>
          <w:rFonts w:ascii="Times New Roman" w:hAnsi="Times New Roman"/>
          <w:b/>
        </w:rPr>
        <w:t>3</w:t>
      </w:r>
      <w:r w:rsidR="00214D89">
        <w:rPr>
          <w:rFonts w:ascii="Times New Roman" w:hAnsi="Times New Roman"/>
          <w:b/>
        </w:rPr>
        <w:t xml:space="preserve">.) önkormányzati rendelet módosításáról szóló </w:t>
      </w:r>
      <w:r w:rsidR="0041601A">
        <w:rPr>
          <w:rFonts w:ascii="Times New Roman" w:hAnsi="Times New Roman"/>
          <w:b/>
        </w:rPr>
        <w:t>8</w:t>
      </w:r>
      <w:r w:rsidR="00214D89">
        <w:rPr>
          <w:rFonts w:ascii="Times New Roman" w:hAnsi="Times New Roman"/>
          <w:b/>
        </w:rPr>
        <w:t>/201</w:t>
      </w:r>
      <w:r w:rsidR="002A1DFD">
        <w:rPr>
          <w:rFonts w:ascii="Times New Roman" w:hAnsi="Times New Roman"/>
          <w:b/>
        </w:rPr>
        <w:t>9</w:t>
      </w:r>
      <w:r w:rsidR="00214D89">
        <w:rPr>
          <w:rFonts w:ascii="Times New Roman" w:hAnsi="Times New Roman"/>
          <w:b/>
        </w:rPr>
        <w:t>. (</w:t>
      </w:r>
      <w:r w:rsidR="00673253">
        <w:rPr>
          <w:rFonts w:ascii="Times New Roman" w:hAnsi="Times New Roman"/>
          <w:b/>
        </w:rPr>
        <w:t>V</w:t>
      </w:r>
      <w:r w:rsidR="00C77B67">
        <w:rPr>
          <w:rFonts w:ascii="Times New Roman" w:hAnsi="Times New Roman"/>
          <w:b/>
        </w:rPr>
        <w:t>I</w:t>
      </w:r>
      <w:r w:rsidR="00214D89">
        <w:rPr>
          <w:rFonts w:ascii="Times New Roman" w:hAnsi="Times New Roman"/>
          <w:b/>
        </w:rPr>
        <w:t>.</w:t>
      </w:r>
      <w:proofErr w:type="gramStart"/>
      <w:r w:rsidR="00C77B67">
        <w:rPr>
          <w:rFonts w:ascii="Times New Roman" w:hAnsi="Times New Roman"/>
          <w:b/>
        </w:rPr>
        <w:t>17</w:t>
      </w:r>
      <w:r w:rsidR="00D64EF0">
        <w:rPr>
          <w:rFonts w:ascii="Times New Roman" w:hAnsi="Times New Roman"/>
          <w:b/>
        </w:rPr>
        <w:t xml:space="preserve"> </w:t>
      </w:r>
      <w:r w:rsidR="00214D89">
        <w:rPr>
          <w:rFonts w:ascii="Times New Roman" w:hAnsi="Times New Roman"/>
          <w:b/>
        </w:rPr>
        <w:t>.</w:t>
      </w:r>
      <w:proofErr w:type="gramEnd"/>
      <w:r w:rsidR="00214D89">
        <w:rPr>
          <w:rFonts w:ascii="Times New Roman" w:hAnsi="Times New Roman"/>
          <w:b/>
        </w:rPr>
        <w:t>) önkormányzati rendelet</w:t>
      </w:r>
    </w:p>
    <w:p w:rsidR="00214D89" w:rsidRDefault="00214D89" w:rsidP="00214D89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előzetes</w:t>
      </w:r>
      <w:proofErr w:type="gramEnd"/>
      <w:r>
        <w:rPr>
          <w:rFonts w:ascii="Times New Roman" w:hAnsi="Times New Roman"/>
          <w:b/>
        </w:rPr>
        <w:t xml:space="preserve"> hatásvizsgálata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2011. január 1-jétől hatályos, a jogalkotásról szóló 2010. évi CXXX. törvény (a továbbiakban </w:t>
      </w:r>
      <w:proofErr w:type="spellStart"/>
      <w:r>
        <w:rPr>
          <w:rFonts w:ascii="Times New Roman" w:hAnsi="Times New Roman"/>
        </w:rPr>
        <w:t>Jat</w:t>
      </w:r>
      <w:proofErr w:type="spellEnd"/>
      <w:r>
        <w:rPr>
          <w:rFonts w:ascii="Times New Roman" w:hAnsi="Times New Roman"/>
        </w:rPr>
        <w:t>.) 17. 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szerint: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tabs>
          <w:tab w:val="left" w:pos="720"/>
          <w:tab w:val="left" w:pos="1260"/>
        </w:tabs>
        <w:ind w:left="1260" w:hanging="1260"/>
        <w:rPr>
          <w:rFonts w:ascii="Times New Roman" w:hAnsi="Times New Roman"/>
        </w:rPr>
      </w:pPr>
      <w:r>
        <w:rPr>
          <w:rFonts w:ascii="Times New Roman" w:hAnsi="Times New Roman"/>
        </w:rPr>
        <w:t>17. §.</w:t>
      </w:r>
      <w:r>
        <w:rPr>
          <w:rFonts w:ascii="Times New Roman" w:hAnsi="Times New Roman"/>
        </w:rPr>
        <w:tab/>
        <w:t>(1)</w:t>
      </w:r>
      <w:r>
        <w:rPr>
          <w:rFonts w:ascii="Times New Roman" w:hAnsi="Times New Roman"/>
        </w:rPr>
        <w:tab/>
        <w:t>A jogszabály előkészítője – a jogszabályban feltételezett hatásaihoz igazodó részletességű – előzetes hatásvizsgálat elvégzésével felméri a szabályozás várható következményeit.</w:t>
      </w:r>
    </w:p>
    <w:p w:rsidR="00214D89" w:rsidRDefault="00214D89" w:rsidP="00214D89">
      <w:pPr>
        <w:tabs>
          <w:tab w:val="left" w:pos="720"/>
          <w:tab w:val="left" w:pos="1260"/>
        </w:tabs>
        <w:rPr>
          <w:rFonts w:ascii="Times New Roman" w:hAnsi="Times New Roman"/>
        </w:rPr>
      </w:pPr>
    </w:p>
    <w:p w:rsidR="00214D89" w:rsidRDefault="00214D89" w:rsidP="00214D89">
      <w:pPr>
        <w:tabs>
          <w:tab w:val="left" w:pos="720"/>
          <w:tab w:val="left" w:pos="1260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ab/>
        <w:t>A hatásvizsgálat során vizsgálni kell</w:t>
      </w:r>
    </w:p>
    <w:p w:rsidR="00214D89" w:rsidRDefault="00214D89" w:rsidP="00214D89">
      <w:pPr>
        <w:tabs>
          <w:tab w:val="left" w:pos="720"/>
          <w:tab w:val="left" w:pos="1260"/>
        </w:tabs>
        <w:ind w:left="708"/>
        <w:rPr>
          <w:rFonts w:ascii="Times New Roman" w:hAnsi="Times New Roman"/>
        </w:rPr>
      </w:pPr>
    </w:p>
    <w:p w:rsidR="00214D89" w:rsidRDefault="00214D89" w:rsidP="00214D89">
      <w:pPr>
        <w:tabs>
          <w:tab w:val="left" w:pos="720"/>
          <w:tab w:val="left" w:pos="1260"/>
          <w:tab w:val="left" w:pos="1620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  <w:t>a tervezett jogszabály valamennyi jelentősnek ítélt hatását, különösen</w:t>
      </w:r>
    </w:p>
    <w:p w:rsidR="00214D89" w:rsidRDefault="00214D89" w:rsidP="00214D89">
      <w:pPr>
        <w:tabs>
          <w:tab w:val="left" w:pos="720"/>
          <w:tab w:val="left" w:pos="1620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aa</w:t>
      </w:r>
      <w:proofErr w:type="spellEnd"/>
      <w:r>
        <w:rPr>
          <w:rFonts w:ascii="Times New Roman" w:hAnsi="Times New Roman"/>
        </w:rPr>
        <w:t>.) társadalmi, gazdasági, költségvetési hatásait</w:t>
      </w:r>
    </w:p>
    <w:p w:rsidR="00214D89" w:rsidRDefault="00214D89" w:rsidP="00214D89">
      <w:pPr>
        <w:tabs>
          <w:tab w:val="left" w:pos="720"/>
          <w:tab w:val="left" w:pos="1620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ab</w:t>
      </w:r>
      <w:proofErr w:type="gramEnd"/>
      <w:r>
        <w:rPr>
          <w:rFonts w:ascii="Times New Roman" w:hAnsi="Times New Roman"/>
        </w:rPr>
        <w:t>.) környezeti és egészségi következményeit,</w:t>
      </w:r>
    </w:p>
    <w:p w:rsidR="00214D89" w:rsidRDefault="00214D89" w:rsidP="00214D89">
      <w:pPr>
        <w:tabs>
          <w:tab w:val="left" w:pos="720"/>
          <w:tab w:val="left" w:pos="1620"/>
        </w:tabs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ac</w:t>
      </w:r>
      <w:proofErr w:type="spellEnd"/>
      <w:r>
        <w:rPr>
          <w:rFonts w:ascii="Times New Roman" w:hAnsi="Times New Roman"/>
        </w:rPr>
        <w:t>.) adminisztratív terheket befolyásoló hatásait, valamint</w:t>
      </w:r>
    </w:p>
    <w:p w:rsidR="00214D89" w:rsidRDefault="00214D89" w:rsidP="00214D89">
      <w:pPr>
        <w:tabs>
          <w:tab w:val="left" w:pos="1260"/>
          <w:tab w:val="left" w:pos="1620"/>
        </w:tabs>
        <w:ind w:left="1620" w:hanging="912"/>
        <w:rPr>
          <w:rFonts w:ascii="Times New Roman" w:hAnsi="Times New Roman"/>
        </w:rPr>
      </w:pPr>
      <w:r>
        <w:rPr>
          <w:rFonts w:ascii="Times New Roman" w:hAnsi="Times New Roman"/>
        </w:rPr>
        <w:tab/>
        <w:t>b.)</w:t>
      </w:r>
      <w:r>
        <w:rPr>
          <w:rFonts w:ascii="Times New Roman" w:hAnsi="Times New Roman"/>
        </w:rPr>
        <w:tab/>
        <w:t>a jogszabály megalkotásának szükségességét, a jogalkotás elmaradásának várható következményeit, és</w:t>
      </w:r>
    </w:p>
    <w:p w:rsidR="00214D89" w:rsidRDefault="00214D89" w:rsidP="00214D89">
      <w:pPr>
        <w:tabs>
          <w:tab w:val="left" w:pos="1260"/>
          <w:tab w:val="left" w:pos="1620"/>
        </w:tabs>
        <w:ind w:left="1620" w:hanging="91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c.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a jogszabály alkalmazásához szükséges személyi, tárgyi és pénzügyi feltételeket.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D361D6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>Mályinka</w:t>
      </w:r>
      <w:r w:rsidR="00214D89">
        <w:rPr>
          <w:rFonts w:ascii="Times New Roman" w:hAnsi="Times New Roman"/>
        </w:rPr>
        <w:t xml:space="preserve"> Község Önkormányzata 201</w:t>
      </w:r>
      <w:r w:rsidR="002A1DFD">
        <w:rPr>
          <w:rFonts w:ascii="Times New Roman" w:hAnsi="Times New Roman"/>
        </w:rPr>
        <w:t>9</w:t>
      </w:r>
      <w:r w:rsidR="00214D89">
        <w:rPr>
          <w:rFonts w:ascii="Times New Roman" w:hAnsi="Times New Roman"/>
        </w:rPr>
        <w:t xml:space="preserve">. évi költségvetési rendelet módosításában foglaltak várható hatásai – a </w:t>
      </w:r>
      <w:proofErr w:type="spellStart"/>
      <w:r w:rsidR="00214D89">
        <w:rPr>
          <w:rFonts w:ascii="Times New Roman" w:hAnsi="Times New Roman"/>
        </w:rPr>
        <w:t>Jat</w:t>
      </w:r>
      <w:proofErr w:type="spellEnd"/>
      <w:r w:rsidR="00214D89">
        <w:rPr>
          <w:rFonts w:ascii="Times New Roman" w:hAnsi="Times New Roman"/>
        </w:rPr>
        <w:t xml:space="preserve"> 17. § (2) bekezdésében foglalt elvárások tükrében – az alábbiak szerint összegezhetők: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numPr>
          <w:ilvl w:val="0"/>
          <w:numId w:val="1"/>
        </w:num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tervezett jogszabály valamennyi jelentősnek ítélt hatása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tabs>
          <w:tab w:val="left" w:pos="36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 jogszabály társadalmi, gazdasági, költségvetési hatásai</w:t>
      </w:r>
    </w:p>
    <w:p w:rsidR="00214D89" w:rsidRDefault="00214D89" w:rsidP="00214D89">
      <w:pPr>
        <w:tabs>
          <w:tab w:val="left" w:pos="900"/>
        </w:tabs>
        <w:ind w:left="360"/>
        <w:rPr>
          <w:rFonts w:ascii="Times New Roman" w:hAnsi="Times New Roman"/>
        </w:rPr>
      </w:pPr>
    </w:p>
    <w:p w:rsidR="00214D89" w:rsidRDefault="00214D89" w:rsidP="00D361D6">
      <w:pPr>
        <w:ind w:left="106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aa</w:t>
      </w:r>
      <w:proofErr w:type="spellEnd"/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  <w:i/>
        </w:rPr>
        <w:t xml:space="preserve">A </w:t>
      </w:r>
      <w:r>
        <w:rPr>
          <w:rFonts w:ascii="Times New Roman" w:hAnsi="Times New Roman"/>
          <w:i/>
          <w:u w:val="single"/>
        </w:rPr>
        <w:t>társadalmi</w:t>
      </w:r>
      <w:r>
        <w:rPr>
          <w:rFonts w:ascii="Times New Roman" w:hAnsi="Times New Roman"/>
          <w:i/>
        </w:rPr>
        <w:t xml:space="preserve"> hatásai:</w:t>
      </w:r>
      <w:r>
        <w:rPr>
          <w:rFonts w:ascii="Times New Roman" w:hAnsi="Times New Roman"/>
        </w:rPr>
        <w:t xml:space="preserve"> Indokolt a tárgyévi költségvetés módosítása, </w:t>
      </w:r>
      <w:r w:rsidR="00DB0D80">
        <w:rPr>
          <w:rFonts w:ascii="Times New Roman" w:hAnsi="Times New Roman"/>
        </w:rPr>
        <w:t xml:space="preserve">az </w:t>
      </w:r>
      <w:proofErr w:type="gramStart"/>
      <w:r w:rsidR="00E466C6">
        <w:rPr>
          <w:rFonts w:ascii="Times New Roman" w:hAnsi="Times New Roman"/>
        </w:rPr>
        <w:t xml:space="preserve">állami </w:t>
      </w:r>
      <w:r w:rsidR="00DB0D80">
        <w:rPr>
          <w:rFonts w:ascii="Times New Roman" w:hAnsi="Times New Roman"/>
        </w:rPr>
        <w:t xml:space="preserve"> támogatás</w:t>
      </w:r>
      <w:proofErr w:type="gramEnd"/>
      <w:r w:rsidR="00DB0D80">
        <w:rPr>
          <w:rFonts w:ascii="Times New Roman" w:hAnsi="Times New Roman"/>
        </w:rPr>
        <w:t xml:space="preserve"> </w:t>
      </w:r>
      <w:r w:rsidR="002A1DFD">
        <w:rPr>
          <w:rFonts w:ascii="Times New Roman" w:hAnsi="Times New Roman"/>
        </w:rPr>
        <w:t xml:space="preserve">,és az év közbeni bevétel </w:t>
      </w:r>
      <w:r w:rsidR="00DB0D80">
        <w:rPr>
          <w:rFonts w:ascii="Times New Roman" w:hAnsi="Times New Roman"/>
        </w:rPr>
        <w:t xml:space="preserve">- </w:t>
      </w:r>
      <w:r w:rsidR="00E466C6">
        <w:rPr>
          <w:rFonts w:ascii="Times New Roman" w:hAnsi="Times New Roman"/>
        </w:rPr>
        <w:t>összege</w:t>
      </w:r>
      <w:r w:rsidR="00DB0D80">
        <w:rPr>
          <w:rFonts w:ascii="Times New Roman" w:hAnsi="Times New Roman"/>
        </w:rPr>
        <w:t xml:space="preserve"> </w:t>
      </w:r>
      <w:r w:rsidR="002A1DFD">
        <w:rPr>
          <w:rFonts w:ascii="Times New Roman" w:hAnsi="Times New Roman"/>
        </w:rPr>
        <w:t>57.890.412</w:t>
      </w:r>
      <w:r w:rsidR="00DB0D80">
        <w:rPr>
          <w:rFonts w:ascii="Times New Roman" w:hAnsi="Times New Roman"/>
        </w:rPr>
        <w:t>,- Ft.</w:t>
      </w:r>
      <w:r w:rsidR="00D361D6">
        <w:rPr>
          <w:rFonts w:ascii="Times New Roman" w:hAnsi="Times New Roman"/>
        </w:rPr>
        <w:t>.</w:t>
      </w:r>
    </w:p>
    <w:p w:rsidR="00E466C6" w:rsidRDefault="00E466C6" w:rsidP="00D361D6">
      <w:pPr>
        <w:ind w:left="1068"/>
        <w:rPr>
          <w:rFonts w:ascii="Times New Roman" w:hAnsi="Times New Roman"/>
        </w:rPr>
      </w:pPr>
    </w:p>
    <w:p w:rsidR="00214D89" w:rsidRDefault="00214D89" w:rsidP="00214D89">
      <w:pPr>
        <w:tabs>
          <w:tab w:val="left" w:pos="1440"/>
        </w:tabs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 xml:space="preserve">A Tervezet </w:t>
      </w:r>
      <w:r>
        <w:rPr>
          <w:rFonts w:ascii="Times New Roman" w:hAnsi="Times New Roman"/>
          <w:i/>
          <w:u w:val="single"/>
        </w:rPr>
        <w:t>gazdasági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költségvetési</w:t>
      </w:r>
      <w:r>
        <w:rPr>
          <w:rFonts w:ascii="Times New Roman" w:hAnsi="Times New Roman"/>
          <w:i/>
        </w:rPr>
        <w:t xml:space="preserve"> hatásai:</w:t>
      </w:r>
    </w:p>
    <w:p w:rsidR="00214D89" w:rsidRDefault="00214D89" w:rsidP="00214D89">
      <w:pPr>
        <w:tabs>
          <w:tab w:val="left" w:pos="1440"/>
        </w:tabs>
        <w:ind w:left="360"/>
        <w:rPr>
          <w:rFonts w:ascii="Times New Roman" w:hAnsi="Times New Roman"/>
        </w:rPr>
      </w:pPr>
    </w:p>
    <w:p w:rsidR="00214D89" w:rsidRDefault="00214D89" w:rsidP="00214D89">
      <w:pPr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az önkormányzat 201</w:t>
      </w:r>
      <w:r w:rsidR="002A1DF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évi költségvetését </w:t>
      </w:r>
      <w:r w:rsidR="002A1DFD">
        <w:rPr>
          <w:rFonts w:ascii="Times New Roman" w:hAnsi="Times New Roman"/>
        </w:rPr>
        <w:t>164.032.575</w:t>
      </w:r>
      <w:r w:rsidR="00DB0D80">
        <w:t>,</w:t>
      </w:r>
      <w:r w:rsidR="00DB0D8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Ft bevétellel, és </w:t>
      </w:r>
      <w:r w:rsidR="002A1DFD">
        <w:rPr>
          <w:rFonts w:ascii="Times New Roman" w:hAnsi="Times New Roman"/>
        </w:rPr>
        <w:t>164.032.575</w:t>
      </w:r>
      <w:r w:rsidR="00DB0D80">
        <w:t>,</w:t>
      </w:r>
      <w:r w:rsidR="00DB0D80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Ft kiadással állapítja meg</w:t>
      </w:r>
      <w:r>
        <w:rPr>
          <w:rFonts w:ascii="Times New Roman" w:hAnsi="Times New Roman"/>
          <w:iCs/>
        </w:rPr>
        <w:t>.</w:t>
      </w:r>
    </w:p>
    <w:p w:rsidR="00214D89" w:rsidRDefault="00214D89" w:rsidP="00214D89">
      <w:pPr>
        <w:ind w:left="360"/>
        <w:rPr>
          <w:rFonts w:ascii="Times New Roman" w:hAnsi="Times New Roman"/>
        </w:rPr>
      </w:pPr>
    </w:p>
    <w:p w:rsidR="00214D89" w:rsidRDefault="00214D89" w:rsidP="00214D89">
      <w:pPr>
        <w:tabs>
          <w:tab w:val="left" w:pos="900"/>
          <w:tab w:val="left" w:pos="14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ab</w:t>
      </w:r>
      <w:proofErr w:type="gramEnd"/>
      <w:r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A jogszabály környezeti és egészségi következményei</w:t>
      </w:r>
      <w:r>
        <w:rPr>
          <w:rFonts w:ascii="Times New Roman" w:hAnsi="Times New Roman"/>
        </w:rPr>
        <w:t>:</w:t>
      </w:r>
    </w:p>
    <w:p w:rsidR="00214D89" w:rsidRDefault="00214D89" w:rsidP="00214D89">
      <w:pPr>
        <w:tabs>
          <w:tab w:val="left" w:pos="1440"/>
        </w:tabs>
        <w:ind w:left="360"/>
        <w:rPr>
          <w:rFonts w:ascii="Times New Roman" w:hAnsi="Times New Roman"/>
        </w:rPr>
      </w:pPr>
    </w:p>
    <w:p w:rsidR="00214D89" w:rsidRDefault="00214D89" w:rsidP="00214D89">
      <w:pPr>
        <w:tabs>
          <w:tab w:val="left" w:pos="1440"/>
        </w:tabs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A rendelet módosításban foglaltaknak a jelenlegi helyzethez viszonyított, számottevő környezeti és egészségi következményei, eltérései nincsenek.</w:t>
      </w:r>
    </w:p>
    <w:p w:rsidR="00214D89" w:rsidRDefault="00214D89" w:rsidP="00214D89">
      <w:pPr>
        <w:ind w:left="360"/>
        <w:rPr>
          <w:rFonts w:ascii="Times New Roman" w:hAnsi="Times New Roman"/>
        </w:rPr>
      </w:pPr>
    </w:p>
    <w:p w:rsidR="00214D89" w:rsidRDefault="00214D89" w:rsidP="00214D89">
      <w:pPr>
        <w:tabs>
          <w:tab w:val="left" w:pos="900"/>
          <w:tab w:val="left" w:pos="1440"/>
        </w:tabs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ac</w:t>
      </w:r>
      <w:proofErr w:type="spellEnd"/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A jogszabály adminisztratív terheket befolyásoló hatásai:</w:t>
      </w:r>
    </w:p>
    <w:p w:rsidR="00214D89" w:rsidRDefault="00214D89" w:rsidP="00214D89">
      <w:pPr>
        <w:tabs>
          <w:tab w:val="left" w:pos="900"/>
          <w:tab w:val="left" w:pos="1440"/>
        </w:tabs>
        <w:ind w:left="360"/>
        <w:rPr>
          <w:rFonts w:ascii="Times New Roman" w:hAnsi="Times New Roman"/>
        </w:rPr>
      </w:pPr>
    </w:p>
    <w:p w:rsidR="00214D89" w:rsidRDefault="00214D89" w:rsidP="00214D89">
      <w:pPr>
        <w:tabs>
          <w:tab w:val="left" w:pos="900"/>
          <w:tab w:val="left" w:pos="1440"/>
        </w:tabs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A rendelet módosítás a jelenlegihez képest jelentős adminisztratív terheket nem keletkeztet.</w:t>
      </w:r>
    </w:p>
    <w:p w:rsidR="00214D89" w:rsidRDefault="00214D89" w:rsidP="00214D89">
      <w:pPr>
        <w:ind w:left="360"/>
        <w:rPr>
          <w:rFonts w:ascii="Times New Roman" w:hAnsi="Times New Roman"/>
        </w:rPr>
      </w:pPr>
    </w:p>
    <w:p w:rsidR="00214D89" w:rsidRDefault="00214D89" w:rsidP="00214D89">
      <w:pPr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jogszabály megalkotásának szükségessége, a jogalkotás elmaradásának várható következményei:</w:t>
      </w:r>
    </w:p>
    <w:p w:rsidR="00214D89" w:rsidRDefault="00214D89" w:rsidP="00214D89">
      <w:pPr>
        <w:tabs>
          <w:tab w:val="num" w:pos="360"/>
        </w:tabs>
        <w:ind w:left="360" w:hanging="360"/>
        <w:rPr>
          <w:rFonts w:ascii="Times New Roman" w:hAnsi="Times New Roman"/>
        </w:rPr>
      </w:pPr>
    </w:p>
    <w:p w:rsidR="00214D89" w:rsidRDefault="00214D89" w:rsidP="00214D89">
      <w:pPr>
        <w:tabs>
          <w:tab w:val="left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Magyarország helyi önkormányzatairól szóló 2011. évi CLXXXIX törvény 143. § (4) b) pontja és az államháztartásról szóló 2011. évi CXCV törvény 23. § (1) bekezdése teszi indokolttá.</w:t>
      </w: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jogszabály alkalmazásához szükséges személyi, szervezeti, tárgyi és pénzügyi feltételek:</w:t>
      </w:r>
    </w:p>
    <w:p w:rsidR="00214D89" w:rsidRDefault="00214D89" w:rsidP="00214D89">
      <w:pPr>
        <w:rPr>
          <w:rFonts w:ascii="Times New Roman" w:hAnsi="Times New Roman"/>
          <w:b/>
        </w:rPr>
      </w:pPr>
    </w:p>
    <w:p w:rsidR="00214D89" w:rsidRDefault="00214D89" w:rsidP="00214D89">
      <w:pPr>
        <w:tabs>
          <w:tab w:val="left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 rendelet módosítás elfogadása esetén az új rendelet alkalmazása a jelenlegi szabályozáshoz képest többlet személyi feltételt nem igényel.</w:t>
      </w:r>
    </w:p>
    <w:p w:rsidR="00214D89" w:rsidRDefault="00214D89" w:rsidP="00214D89">
      <w:pPr>
        <w:rPr>
          <w:rFonts w:ascii="Times New Roman" w:hAnsi="Times New Roman"/>
          <w:sz w:val="26"/>
          <w:szCs w:val="26"/>
        </w:rPr>
      </w:pP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214D89" w:rsidP="00214D89">
      <w:pPr>
        <w:rPr>
          <w:rFonts w:ascii="Times New Roman" w:hAnsi="Times New Roman"/>
        </w:rPr>
      </w:pPr>
    </w:p>
    <w:p w:rsidR="00214D89" w:rsidRDefault="00DB0D80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>Tardona</w:t>
      </w:r>
      <w:r w:rsidR="00214D89">
        <w:rPr>
          <w:rFonts w:ascii="Times New Roman" w:hAnsi="Times New Roman"/>
        </w:rPr>
        <w:t>, 20</w:t>
      </w:r>
      <w:r w:rsidR="002A1DFD">
        <w:rPr>
          <w:rFonts w:ascii="Times New Roman" w:hAnsi="Times New Roman"/>
        </w:rPr>
        <w:t>20</w:t>
      </w:r>
      <w:r w:rsidR="00E466C6">
        <w:rPr>
          <w:rFonts w:ascii="Times New Roman" w:hAnsi="Times New Roman"/>
        </w:rPr>
        <w:t>.május 2</w:t>
      </w:r>
      <w:r w:rsidR="00673253">
        <w:rPr>
          <w:rFonts w:ascii="Times New Roman" w:hAnsi="Times New Roman"/>
        </w:rPr>
        <w:t>8</w:t>
      </w:r>
      <w:r w:rsidR="00214D89">
        <w:rPr>
          <w:rFonts w:ascii="Times New Roman" w:hAnsi="Times New Roman"/>
        </w:rPr>
        <w:t>.</w:t>
      </w:r>
    </w:p>
    <w:p w:rsidR="00214D89" w:rsidRDefault="00214D89" w:rsidP="00214D89">
      <w:pPr>
        <w:rPr>
          <w:rFonts w:ascii="Times New Roman" w:hAnsi="Times New Roman"/>
        </w:rPr>
      </w:pPr>
    </w:p>
    <w:p w:rsidR="00E466C6" w:rsidRDefault="00214D89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361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Dr. Szécsi Ottó</w:t>
      </w:r>
      <w:r w:rsidR="00C77B67">
        <w:rPr>
          <w:rFonts w:ascii="Times New Roman" w:hAnsi="Times New Roman"/>
        </w:rPr>
        <w:t xml:space="preserve"> s.k.</w:t>
      </w:r>
    </w:p>
    <w:p w:rsidR="00214D89" w:rsidRDefault="00E466C6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 w:rsidR="00D361D6">
        <w:rPr>
          <w:rFonts w:ascii="Times New Roman" w:hAnsi="Times New Roman"/>
        </w:rPr>
        <w:t xml:space="preserve"> </w:t>
      </w:r>
      <w:proofErr w:type="gramStart"/>
      <w:r w:rsidR="00D361D6">
        <w:rPr>
          <w:rFonts w:ascii="Times New Roman" w:hAnsi="Times New Roman"/>
        </w:rPr>
        <w:t>j</w:t>
      </w:r>
      <w:r w:rsidR="00214D89">
        <w:rPr>
          <w:rFonts w:ascii="Times New Roman" w:hAnsi="Times New Roman"/>
        </w:rPr>
        <w:t>egyző</w:t>
      </w:r>
      <w:proofErr w:type="gramEnd"/>
    </w:p>
    <w:p w:rsidR="00D361D6" w:rsidRDefault="00D361D6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61D6" w:rsidRDefault="00D361D6" w:rsidP="00214D89">
      <w:pPr>
        <w:rPr>
          <w:rFonts w:ascii="Times New Roman" w:hAnsi="Times New Roman"/>
        </w:rPr>
      </w:pPr>
    </w:p>
    <w:p w:rsidR="00D361D6" w:rsidRDefault="00D361D6" w:rsidP="00214D89">
      <w:pPr>
        <w:rPr>
          <w:rFonts w:ascii="Times New Roman" w:hAnsi="Times New Roman"/>
        </w:rPr>
      </w:pPr>
    </w:p>
    <w:p w:rsidR="00D361D6" w:rsidRDefault="00D361D6" w:rsidP="00214D89">
      <w:pPr>
        <w:rPr>
          <w:rFonts w:ascii="Times New Roman" w:hAnsi="Times New Roman"/>
        </w:rPr>
      </w:pPr>
    </w:p>
    <w:p w:rsidR="00D361D6" w:rsidRDefault="00D361D6" w:rsidP="00214D8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1C26" w:rsidRDefault="00D361D6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A8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21243"/>
    <w:multiLevelType w:val="hybridMultilevel"/>
    <w:tmpl w:val="F522E3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9"/>
    <w:rsid w:val="00031EA9"/>
    <w:rsid w:val="000C69ED"/>
    <w:rsid w:val="00214D89"/>
    <w:rsid w:val="002A1DFD"/>
    <w:rsid w:val="002B08FB"/>
    <w:rsid w:val="0041601A"/>
    <w:rsid w:val="005606F8"/>
    <w:rsid w:val="006008D2"/>
    <w:rsid w:val="00673253"/>
    <w:rsid w:val="00774139"/>
    <w:rsid w:val="00795747"/>
    <w:rsid w:val="008229B8"/>
    <w:rsid w:val="00882C25"/>
    <w:rsid w:val="008F5A4D"/>
    <w:rsid w:val="00A81C26"/>
    <w:rsid w:val="00C77B67"/>
    <w:rsid w:val="00D211E5"/>
    <w:rsid w:val="00D361D6"/>
    <w:rsid w:val="00D64EF0"/>
    <w:rsid w:val="00DB0D80"/>
    <w:rsid w:val="00E35054"/>
    <w:rsid w:val="00E466C6"/>
    <w:rsid w:val="00F04BC2"/>
    <w:rsid w:val="00F20330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E09C8-661C-484B-963F-B9A57D31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89"/>
    <w:pPr>
      <w:spacing w:after="0" w:line="240" w:lineRule="auto"/>
      <w:jc w:val="both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Iroda-4332</dc:creator>
  <cp:keywords/>
  <dc:description/>
  <cp:lastModifiedBy>Iroda</cp:lastModifiedBy>
  <cp:revision>2</cp:revision>
  <dcterms:created xsi:type="dcterms:W3CDTF">2020-06-18T12:01:00Z</dcterms:created>
  <dcterms:modified xsi:type="dcterms:W3CDTF">2020-06-18T12:01:00Z</dcterms:modified>
</cp:coreProperties>
</file>