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6FBF" w:rsidRPr="003149FA" w:rsidRDefault="00546FBF" w:rsidP="00546FBF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3149FA">
        <w:rPr>
          <w:rFonts w:ascii="Times New Roman" w:hAnsi="Times New Roman"/>
          <w:b/>
          <w:szCs w:val="24"/>
        </w:rPr>
        <w:t>Általános indoklás</w:t>
      </w:r>
    </w:p>
    <w:p w:rsidR="00546FBF" w:rsidRPr="003149FA" w:rsidRDefault="00546FBF" w:rsidP="00546FBF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:rsidR="00546FBF" w:rsidRPr="003149FA" w:rsidRDefault="00546FBF" w:rsidP="00546FBF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</w:p>
    <w:p w:rsidR="00546FBF" w:rsidRDefault="00546FBF" w:rsidP="00546FBF">
      <w:pPr>
        <w:autoSpaceDE w:val="0"/>
        <w:autoSpaceDN w:val="0"/>
        <w:adjustRightInd w:val="0"/>
        <w:jc w:val="both"/>
      </w:pPr>
      <w:r w:rsidRPr="003149FA">
        <w:rPr>
          <w:bCs/>
        </w:rPr>
        <w:t>Az</w:t>
      </w:r>
      <w:r w:rsidRPr="003149FA">
        <w:t xml:space="preserve"> </w:t>
      </w:r>
      <w:r w:rsidRPr="003149FA">
        <w:rPr>
          <w:bCs/>
        </w:rPr>
        <w:t>épített környezet alakításáról és védelméről szóló 1997. évi LXXVIII. törvény 20. §</w:t>
      </w:r>
      <w:proofErr w:type="spellStart"/>
      <w:r w:rsidRPr="003149FA">
        <w:rPr>
          <w:bCs/>
        </w:rPr>
        <w:t>-</w:t>
      </w:r>
      <w:proofErr w:type="gramStart"/>
      <w:r w:rsidRPr="003149FA">
        <w:rPr>
          <w:bCs/>
        </w:rPr>
        <w:t>a</w:t>
      </w:r>
      <w:proofErr w:type="spellEnd"/>
      <w:proofErr w:type="gramEnd"/>
      <w:r w:rsidRPr="003149FA">
        <w:rPr>
          <w:bCs/>
        </w:rPr>
        <w:t xml:space="preserve"> alapján a</w:t>
      </w:r>
      <w:r w:rsidRPr="003149FA">
        <w:t>z érintett területre</w:t>
      </w:r>
      <w:r w:rsidRPr="003149FA">
        <w:rPr>
          <w:i/>
          <w:iCs/>
        </w:rPr>
        <w:t xml:space="preserve"> </w:t>
      </w:r>
      <w:r w:rsidRPr="003149FA">
        <w:t>változtatási tilalom rendelhető el</w:t>
      </w:r>
      <w:r w:rsidRPr="003149FA">
        <w:rPr>
          <w:i/>
          <w:iCs/>
        </w:rPr>
        <w:t xml:space="preserve"> </w:t>
      </w:r>
      <w:r w:rsidRPr="003149FA">
        <w:t xml:space="preserve">a helyi építési szabályzat készítésének időszakára annak hatálybalépéséig. </w:t>
      </w:r>
      <w:r w:rsidRPr="003149FA">
        <w:rPr>
          <w:sz w:val="20"/>
          <w:szCs w:val="20"/>
        </w:rPr>
        <w:t xml:space="preserve"> </w:t>
      </w:r>
      <w:r w:rsidRPr="003149FA">
        <w:t>A tilalmat a feltétlenül szükséges mértékre és időtartamra kell korlátozni, s azt haladéktalanul meg kell szüntetni, ha az elrendelésének alapjául szolgáló okok már nem állnak fenn. A tilalmak felülvizsgálatát a helyi építési szabályzat felülvizsgálatával együtt el kell végezni.</w:t>
      </w:r>
    </w:p>
    <w:p w:rsidR="00546FBF" w:rsidRDefault="00546FBF" w:rsidP="00546FBF">
      <w:pPr>
        <w:pStyle w:val="lfej"/>
        <w:tabs>
          <w:tab w:val="clear" w:pos="4536"/>
          <w:tab w:val="clear" w:pos="9072"/>
        </w:tabs>
        <w:rPr>
          <w:rFonts w:ascii="Times New Roman" w:hAnsi="Times New Roman"/>
        </w:rPr>
      </w:pPr>
      <w:r w:rsidRPr="001412F5">
        <w:rPr>
          <w:rFonts w:ascii="Times New Roman" w:hAnsi="Times New Roman"/>
        </w:rPr>
        <w:t xml:space="preserve">A Változtatási tilalom elrendeléséről az SZTM 2020-016 számú rendezési tervmódosításra tekintettel </w:t>
      </w:r>
      <w:r>
        <w:rPr>
          <w:rFonts w:ascii="Times New Roman" w:hAnsi="Times New Roman"/>
        </w:rPr>
        <w:t>szóló</w:t>
      </w:r>
      <w:r w:rsidRPr="001412F5">
        <w:rPr>
          <w:rFonts w:ascii="Times New Roman" w:hAnsi="Times New Roman"/>
        </w:rPr>
        <w:t xml:space="preserve"> 12/2020. (IV. 22.) önkormányzati rendelet </w:t>
      </w:r>
      <w:r w:rsidRPr="001412F5">
        <w:rPr>
          <w:rFonts w:ascii="Times New Roman" w:hAnsi="Times New Roman"/>
          <w:bCs/>
        </w:rPr>
        <w:t xml:space="preserve">esetében a rendezési terv módosításának folyamata során megállapítást nyert, hogy az 5756/1, </w:t>
      </w:r>
      <w:r w:rsidRPr="001412F5">
        <w:rPr>
          <w:rFonts w:ascii="Times New Roman" w:hAnsi="Times New Roman"/>
        </w:rPr>
        <w:t>5756/2 és az 5758 hrsz.-ú közterületi ingatlanok</w:t>
      </w:r>
      <w:r>
        <w:rPr>
          <w:rFonts w:ascii="Times New Roman" w:hAnsi="Times New Roman"/>
        </w:rPr>
        <w:t xml:space="preserve"> esetében nem indokolt a változtatási tilalom fenntartása, tekintettel arra, hogy az ingatlan-nyilvántartásban közútként nyilvántartott ingatlanok besorolását, építési jogait a rendezési terv módosítása nem fogja megváltoztatni. A 02043 sz. építési övezet már beépült, a paraméterek alapján nem várható építési tevékenység, ezért ebben a tömbben sem indokolt a változtatási tilalom fenntartása. </w:t>
      </w:r>
    </w:p>
    <w:p w:rsidR="00546FBF" w:rsidRDefault="00546FBF" w:rsidP="00546FBF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bCs/>
        </w:rPr>
      </w:pPr>
      <w:r w:rsidRPr="00E717D3">
        <w:rPr>
          <w:rFonts w:ascii="Times New Roman" w:hAnsi="Times New Roman"/>
          <w:szCs w:val="24"/>
        </w:rPr>
        <w:t>A</w:t>
      </w:r>
      <w:r>
        <w:rPr>
          <w:rFonts w:ascii="Times New Roman" w:hAnsi="Times New Roman"/>
          <w:szCs w:val="24"/>
        </w:rPr>
        <w:t xml:space="preserve"> rendezési terv módosítása során lefolytatott vizsgálat eredményeként megállapítható, hogy a 00165 sz. övezetben található </w:t>
      </w:r>
      <w:r w:rsidRPr="00E717D3">
        <w:rPr>
          <w:rFonts w:ascii="Times New Roman" w:hAnsi="Times New Roman"/>
          <w:szCs w:val="24"/>
        </w:rPr>
        <w:t>Radó Tibor Általános Iskola és Egységes Gyógypedagógiai Módszertani Intézmény épületének helyt adó ingatlan beépítése kialakultnak tekinthető</w:t>
      </w:r>
      <w:r>
        <w:rPr>
          <w:rFonts w:ascii="Times New Roman" w:hAnsi="Times New Roman"/>
          <w:szCs w:val="24"/>
        </w:rPr>
        <w:t xml:space="preserve">. Az övezetben található ingatlanokra lefolytatott vizsgálat alapján leszögezhető, hogy azok </w:t>
      </w:r>
      <w:r w:rsidRPr="00E717D3">
        <w:rPr>
          <w:rFonts w:ascii="Times New Roman" w:hAnsi="Times New Roman"/>
          <w:szCs w:val="24"/>
        </w:rPr>
        <w:t>elépítés</w:t>
      </w:r>
      <w:r>
        <w:rPr>
          <w:rFonts w:ascii="Times New Roman" w:hAnsi="Times New Roman"/>
          <w:szCs w:val="24"/>
        </w:rPr>
        <w:t>e</w:t>
      </w:r>
      <w:r w:rsidRPr="00E717D3">
        <w:rPr>
          <w:rFonts w:ascii="Times New Roman" w:hAnsi="Times New Roman"/>
          <w:szCs w:val="24"/>
        </w:rPr>
        <w:t xml:space="preserve"> vagy túlépítés</w:t>
      </w:r>
      <w:r>
        <w:rPr>
          <w:rFonts w:ascii="Times New Roman" w:hAnsi="Times New Roman"/>
          <w:szCs w:val="24"/>
        </w:rPr>
        <w:t>e</w:t>
      </w:r>
      <w:r w:rsidRPr="00E717D3">
        <w:rPr>
          <w:rFonts w:ascii="Times New Roman" w:hAnsi="Times New Roman"/>
          <w:szCs w:val="24"/>
        </w:rPr>
        <w:t xml:space="preserve"> nem</w:t>
      </w:r>
      <w:r>
        <w:rPr>
          <w:rFonts w:ascii="Times New Roman" w:hAnsi="Times New Roman"/>
          <w:szCs w:val="24"/>
        </w:rPr>
        <w:t xml:space="preserve"> tekinthető</w:t>
      </w:r>
      <w:r w:rsidRPr="00E717D3">
        <w:rPr>
          <w:rFonts w:ascii="Times New Roman" w:hAnsi="Times New Roman"/>
          <w:szCs w:val="24"/>
        </w:rPr>
        <w:t xml:space="preserve"> releváns</w:t>
      </w:r>
      <w:r>
        <w:rPr>
          <w:rFonts w:ascii="Times New Roman" w:hAnsi="Times New Roman"/>
          <w:szCs w:val="24"/>
        </w:rPr>
        <w:t xml:space="preserve"> körülménynek. Mindezen indokokra figyelemmel</w:t>
      </w:r>
      <w:r w:rsidRPr="00E717D3">
        <w:rPr>
          <w:rFonts w:ascii="Times New Roman" w:hAnsi="Times New Roman"/>
          <w:szCs w:val="24"/>
        </w:rPr>
        <w:t xml:space="preserve"> a </w:t>
      </w:r>
      <w:r w:rsidRPr="00E717D3">
        <w:rPr>
          <w:rFonts w:ascii="Times New Roman" w:hAnsi="Times New Roman"/>
          <w:bCs/>
        </w:rPr>
        <w:t>Győri Építési Szabályzatról (</w:t>
      </w:r>
      <w:proofErr w:type="spellStart"/>
      <w:r w:rsidRPr="00E717D3">
        <w:rPr>
          <w:rFonts w:ascii="Times New Roman" w:hAnsi="Times New Roman"/>
          <w:bCs/>
        </w:rPr>
        <w:t>GYÉSZ-ről</w:t>
      </w:r>
      <w:proofErr w:type="spellEnd"/>
      <w:r w:rsidRPr="00E717D3">
        <w:rPr>
          <w:rFonts w:ascii="Times New Roman" w:hAnsi="Times New Roman"/>
          <w:bCs/>
        </w:rPr>
        <w:t>) és Győr Szabályozási Tervéről szóló 1/2006. (I. 25.) Ök. rendelet felülvizsgálatára tekintettel változtatási tilalom elrendeléséről szóló 18/2018. (V. 25.) önkormányzati rendelet</w:t>
      </w:r>
      <w:r>
        <w:rPr>
          <w:rFonts w:ascii="Times New Roman" w:hAnsi="Times New Roman"/>
          <w:bCs/>
        </w:rPr>
        <w:t xml:space="preserve">tel elrendelt változtatási tilalom fenntartása a 00165 sz. övezet vonatkozásában nem indokolt. </w:t>
      </w:r>
    </w:p>
    <w:p w:rsidR="00546FBF" w:rsidRPr="001E13DD" w:rsidRDefault="00546FBF" w:rsidP="00546FBF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bCs/>
          <w:szCs w:val="24"/>
        </w:rPr>
      </w:pPr>
    </w:p>
    <w:p w:rsidR="00546FBF" w:rsidRPr="003149FA" w:rsidRDefault="00546FBF" w:rsidP="00546FBF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b/>
          <w:szCs w:val="24"/>
        </w:rPr>
      </w:pPr>
      <w:r w:rsidRPr="003149FA">
        <w:rPr>
          <w:rFonts w:ascii="Times New Roman" w:hAnsi="Times New Roman"/>
          <w:b/>
          <w:szCs w:val="24"/>
        </w:rPr>
        <w:t xml:space="preserve">Részletes </w:t>
      </w:r>
      <w:r>
        <w:rPr>
          <w:rFonts w:ascii="Times New Roman" w:hAnsi="Times New Roman"/>
          <w:b/>
          <w:szCs w:val="24"/>
        </w:rPr>
        <w:t>i</w:t>
      </w:r>
      <w:r w:rsidRPr="003149FA">
        <w:rPr>
          <w:rFonts w:ascii="Times New Roman" w:hAnsi="Times New Roman"/>
          <w:b/>
          <w:szCs w:val="24"/>
        </w:rPr>
        <w:t>ndoklás</w:t>
      </w:r>
    </w:p>
    <w:p w:rsidR="00546FBF" w:rsidRPr="003149FA" w:rsidRDefault="00546FBF" w:rsidP="00546FBF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:rsidR="00546FBF" w:rsidRPr="008C55F6" w:rsidRDefault="00546FBF" w:rsidP="00546FBF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proofErr w:type="gramStart"/>
      <w:r w:rsidRPr="009E5C09">
        <w:rPr>
          <w:rFonts w:ascii="Times New Roman" w:hAnsi="Times New Roman"/>
          <w:szCs w:val="24"/>
        </w:rPr>
        <w:t>az</w:t>
      </w:r>
      <w:proofErr w:type="gramEnd"/>
      <w:r w:rsidRPr="009E5C09">
        <w:rPr>
          <w:rFonts w:ascii="Times New Roman" w:hAnsi="Times New Roman"/>
          <w:szCs w:val="24"/>
        </w:rPr>
        <w:t xml:space="preserve"> </w:t>
      </w:r>
      <w:r w:rsidRPr="008C55F6">
        <w:rPr>
          <w:rFonts w:ascii="Times New Roman" w:hAnsi="Times New Roman"/>
          <w:szCs w:val="24"/>
        </w:rPr>
        <w:t>1. §</w:t>
      </w:r>
      <w:proofErr w:type="spellStart"/>
      <w:r w:rsidRPr="008C55F6">
        <w:rPr>
          <w:rFonts w:ascii="Times New Roman" w:hAnsi="Times New Roman"/>
          <w:szCs w:val="24"/>
        </w:rPr>
        <w:t>-hoz</w:t>
      </w:r>
      <w:proofErr w:type="spellEnd"/>
    </w:p>
    <w:p w:rsidR="00546FBF" w:rsidRPr="008C55F6" w:rsidRDefault="00546FBF" w:rsidP="00546FBF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:rsidR="00546FBF" w:rsidRPr="00031681" w:rsidRDefault="00546FBF" w:rsidP="00546FBF">
      <w:pPr>
        <w:pStyle w:val="lfej"/>
        <w:tabs>
          <w:tab w:val="clear" w:pos="4536"/>
          <w:tab w:val="clear" w:pos="9072"/>
        </w:tabs>
        <w:rPr>
          <w:rFonts w:ascii="Times New Roman" w:hAnsi="Times New Roman"/>
        </w:rPr>
      </w:pPr>
      <w:r>
        <w:rPr>
          <w:rFonts w:ascii="Times New Roman" w:hAnsi="Times New Roman"/>
        </w:rPr>
        <w:t xml:space="preserve">A </w:t>
      </w:r>
      <w:r w:rsidRPr="00981100">
        <w:rPr>
          <w:rFonts w:ascii="Times New Roman" w:hAnsi="Times New Roman"/>
        </w:rPr>
        <w:t xml:space="preserve">Változtatási tilalom elrendeléséről az SZTM 2020-016 számú rendezési tervmódosításra tekintettel </w:t>
      </w:r>
      <w:r>
        <w:rPr>
          <w:rFonts w:ascii="Times New Roman" w:hAnsi="Times New Roman"/>
        </w:rPr>
        <w:t xml:space="preserve">szóló </w:t>
      </w:r>
      <w:r w:rsidRPr="00981100">
        <w:rPr>
          <w:rFonts w:ascii="Times New Roman" w:hAnsi="Times New Roman"/>
        </w:rPr>
        <w:t>12/2020. (IV.22.) önkormányzati rendelet</w:t>
      </w:r>
      <w:r>
        <w:rPr>
          <w:rFonts w:ascii="Times New Roman" w:hAnsi="Times New Roman"/>
        </w:rPr>
        <w:t xml:space="preserve"> (a továbbiakban: Rendelet)</w:t>
      </w:r>
      <w:r w:rsidRPr="00981100">
        <w:rPr>
          <w:rFonts w:ascii="Times New Roman" w:hAnsi="Times New Roman"/>
        </w:rPr>
        <w:t xml:space="preserve"> 2. §</w:t>
      </w:r>
      <w:proofErr w:type="spellStart"/>
      <w:r w:rsidRPr="00981100">
        <w:rPr>
          <w:rFonts w:ascii="Times New Roman" w:hAnsi="Times New Roman"/>
        </w:rPr>
        <w:t>-a</w:t>
      </w:r>
      <w:proofErr w:type="spellEnd"/>
      <w:r w:rsidRPr="00981100">
        <w:rPr>
          <w:rFonts w:ascii="Times New Roman" w:hAnsi="Times New Roman"/>
        </w:rPr>
        <w:t xml:space="preserve"> </w:t>
      </w:r>
      <w:r w:rsidRPr="00031681">
        <w:rPr>
          <w:rFonts w:ascii="Times New Roman" w:hAnsi="Times New Roman"/>
        </w:rPr>
        <w:t>módosítását tartalmazó rendelkezés.</w:t>
      </w:r>
    </w:p>
    <w:p w:rsidR="00546FBF" w:rsidRPr="00981100" w:rsidRDefault="00546FBF" w:rsidP="00546FBF">
      <w:pPr>
        <w:pStyle w:val="lfej"/>
        <w:tabs>
          <w:tab w:val="clear" w:pos="4536"/>
          <w:tab w:val="clear" w:pos="9072"/>
        </w:tabs>
        <w:rPr>
          <w:rFonts w:ascii="Times New Roman" w:hAnsi="Times New Roman"/>
          <w:szCs w:val="24"/>
        </w:rPr>
      </w:pPr>
    </w:p>
    <w:p w:rsidR="00546FBF" w:rsidRDefault="00546FBF" w:rsidP="00546FBF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  <w:proofErr w:type="gramStart"/>
      <w:r w:rsidRPr="008C55F6">
        <w:rPr>
          <w:rFonts w:ascii="Times New Roman" w:hAnsi="Times New Roman"/>
          <w:szCs w:val="24"/>
        </w:rPr>
        <w:t>a</w:t>
      </w:r>
      <w:proofErr w:type="gramEnd"/>
      <w:r w:rsidRPr="008C55F6">
        <w:rPr>
          <w:rFonts w:ascii="Times New Roman" w:hAnsi="Times New Roman"/>
          <w:szCs w:val="24"/>
        </w:rPr>
        <w:t xml:space="preserve"> 2. §</w:t>
      </w:r>
      <w:proofErr w:type="spellStart"/>
      <w:r w:rsidRPr="008C55F6">
        <w:rPr>
          <w:rFonts w:ascii="Times New Roman" w:hAnsi="Times New Roman"/>
          <w:szCs w:val="24"/>
        </w:rPr>
        <w:t>-hoz</w:t>
      </w:r>
      <w:proofErr w:type="spellEnd"/>
    </w:p>
    <w:p w:rsidR="00546FBF" w:rsidRPr="008C55F6" w:rsidRDefault="00546FBF" w:rsidP="00546FBF">
      <w:pPr>
        <w:pStyle w:val="lfej"/>
        <w:tabs>
          <w:tab w:val="clear" w:pos="4536"/>
          <w:tab w:val="clear" w:pos="9072"/>
        </w:tabs>
        <w:jc w:val="center"/>
        <w:rPr>
          <w:rFonts w:ascii="Times New Roman" w:hAnsi="Times New Roman"/>
          <w:szCs w:val="24"/>
        </w:rPr>
      </w:pPr>
    </w:p>
    <w:p w:rsidR="00546FBF" w:rsidRDefault="00546FBF" w:rsidP="00546FBF">
      <w:pPr>
        <w:jc w:val="both"/>
        <w:rPr>
          <w:bCs/>
        </w:rPr>
      </w:pPr>
      <w:r w:rsidRPr="007C4986">
        <w:rPr>
          <w:bCs/>
        </w:rPr>
        <w:t>A Győri Építési Szabályzatról (</w:t>
      </w:r>
      <w:proofErr w:type="spellStart"/>
      <w:r w:rsidRPr="007C4986">
        <w:rPr>
          <w:bCs/>
        </w:rPr>
        <w:t>GYÉSZ-ről</w:t>
      </w:r>
      <w:proofErr w:type="spellEnd"/>
      <w:r w:rsidRPr="007C4986">
        <w:rPr>
          <w:bCs/>
        </w:rPr>
        <w:t>) és Győr Szabályozási Tervéről szóló 1/2006. (I. 25.) Ök. rendelet felülvizsgálatára tekintettel változtatási tilalom elrendeléséről szóló 18/2018.</w:t>
      </w:r>
      <w:r>
        <w:rPr>
          <w:bCs/>
        </w:rPr>
        <w:t xml:space="preserve"> (V. 25.) önkormányzati rendelettel elrendelt változtatási tilalom megszüntetése a 00165 sz. övezetben. </w:t>
      </w:r>
    </w:p>
    <w:p w:rsidR="00546FBF" w:rsidRDefault="00546FBF" w:rsidP="00546FBF">
      <w:pPr>
        <w:jc w:val="both"/>
      </w:pPr>
    </w:p>
    <w:p w:rsidR="00546FBF" w:rsidRDefault="00546FBF" w:rsidP="00546FBF">
      <w:pPr>
        <w:jc w:val="center"/>
      </w:pPr>
      <w:proofErr w:type="gramStart"/>
      <w:r>
        <w:t>a</w:t>
      </w:r>
      <w:proofErr w:type="gramEnd"/>
      <w:r>
        <w:t xml:space="preserve"> 3. §</w:t>
      </w:r>
      <w:proofErr w:type="spellStart"/>
      <w:r>
        <w:t>-hoz</w:t>
      </w:r>
      <w:proofErr w:type="spellEnd"/>
    </w:p>
    <w:p w:rsidR="00546FBF" w:rsidRDefault="00546FBF" w:rsidP="00546FBF">
      <w:pPr>
        <w:jc w:val="center"/>
      </w:pPr>
    </w:p>
    <w:p w:rsidR="00546FBF" w:rsidRPr="008C55F6" w:rsidRDefault="00546FBF" w:rsidP="00546FBF">
      <w:r w:rsidRPr="008C55F6">
        <w:t>A rendelet hatálybalépését meghatározó rendelkezés.</w:t>
      </w:r>
    </w:p>
    <w:p w:rsidR="00546FBF" w:rsidRDefault="00546FBF" w:rsidP="00546FBF"/>
    <w:p w:rsidR="00546FBF" w:rsidRDefault="00546FBF" w:rsidP="00546FBF">
      <w:pPr>
        <w:jc w:val="center"/>
      </w:pPr>
      <w:proofErr w:type="gramStart"/>
      <w:r>
        <w:t>a</w:t>
      </w:r>
      <w:proofErr w:type="gramEnd"/>
      <w:r>
        <w:t xml:space="preserve"> 4. §</w:t>
      </w:r>
      <w:proofErr w:type="spellStart"/>
      <w:r>
        <w:t>-hoz</w:t>
      </w:r>
      <w:proofErr w:type="spellEnd"/>
    </w:p>
    <w:p w:rsidR="00546FBF" w:rsidRDefault="00546FBF" w:rsidP="00546FBF">
      <w:pPr>
        <w:jc w:val="center"/>
      </w:pPr>
    </w:p>
    <w:p w:rsidR="00546FBF" w:rsidRDefault="00546FBF" w:rsidP="00546FBF">
      <w:pPr>
        <w:jc w:val="both"/>
      </w:pPr>
      <w:r>
        <w:t>A Rendelet átmeneti rendelkezéssel történő módosítása.</w:t>
      </w:r>
    </w:p>
    <w:p w:rsidR="00A041C6" w:rsidRDefault="00A041C6">
      <w:bookmarkStart w:id="0" w:name="_GoBack"/>
      <w:bookmarkEnd w:id="0"/>
    </w:p>
    <w:sectPr w:rsidR="00A041C6" w:rsidSect="00224761">
      <w:headerReference w:type="even" r:id="rId5"/>
      <w:headerReference w:type="default" r:id="rId6"/>
      <w:footerReference w:type="default" r:id="rId7"/>
      <w:headerReference w:type="first" r:id="rId8"/>
      <w:footerReference w:type="first" r:id="rId9"/>
      <w:pgSz w:w="11906" w:h="16838" w:code="9"/>
      <w:pgMar w:top="1135" w:right="1418" w:bottom="992" w:left="1418" w:header="709" w:footer="709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73" w:rsidRDefault="00546FBF">
    <w:pPr>
      <w:pStyle w:val="llb"/>
      <w:jc w:val="right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</w:t>
    </w:r>
    <w:r>
      <w:fldChar w:fldCharType="end"/>
    </w:r>
  </w:p>
  <w:p w:rsidR="00175D30" w:rsidRDefault="00546FBF">
    <w:pPr>
      <w:pStyle w:val="llb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6BDC" w:rsidRDefault="00546FBF">
    <w:pPr>
      <w:pStyle w:val="llb"/>
      <w:jc w:val="center"/>
    </w:pPr>
  </w:p>
  <w:p w:rsidR="00175D30" w:rsidRDefault="00546FBF">
    <w:pPr>
      <w:pStyle w:val="llb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9C6" w:rsidRDefault="00546FBF" w:rsidP="00297DDA">
    <w:pPr>
      <w:pStyle w:val="lfej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>
      <w:rPr>
        <w:rStyle w:val="Oldalszm"/>
        <w:noProof/>
      </w:rPr>
      <w:t>18</w:t>
    </w:r>
    <w:r>
      <w:rPr>
        <w:rStyle w:val="Oldalszm"/>
      </w:rPr>
      <w:fldChar w:fldCharType="end"/>
    </w:r>
  </w:p>
  <w:p w:rsidR="00B179C6" w:rsidRDefault="00546FBF" w:rsidP="00297DDA">
    <w:pPr>
      <w:pStyle w:val="lfej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79C6" w:rsidRDefault="00546FBF" w:rsidP="00297DDA">
    <w:pPr>
      <w:pStyle w:val="lfej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15B73" w:rsidRDefault="00546FBF">
    <w:pPr>
      <w:pStyle w:val="lfej"/>
      <w:jc w:val="center"/>
    </w:pPr>
  </w:p>
  <w:p w:rsidR="00015B73" w:rsidRDefault="00546FBF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523A"/>
    <w:rsid w:val="00546FBF"/>
    <w:rsid w:val="0069523A"/>
    <w:rsid w:val="00A041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6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46FBF"/>
    <w:pPr>
      <w:tabs>
        <w:tab w:val="center" w:pos="4536"/>
        <w:tab w:val="right" w:pos="9072"/>
      </w:tabs>
      <w:jc w:val="both"/>
    </w:pPr>
    <w:rPr>
      <w:rFonts w:ascii="Century Gothic" w:hAnsi="Century Gothic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546FBF"/>
    <w:rPr>
      <w:rFonts w:ascii="Century Gothic" w:eastAsia="Times New Roman" w:hAnsi="Century Gothic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546FBF"/>
  </w:style>
  <w:style w:type="paragraph" w:styleId="llb">
    <w:name w:val="footer"/>
    <w:basedOn w:val="Norml"/>
    <w:link w:val="llbChar"/>
    <w:uiPriority w:val="99"/>
    <w:rsid w:val="00546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46FB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546F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546FBF"/>
    <w:pPr>
      <w:tabs>
        <w:tab w:val="center" w:pos="4536"/>
        <w:tab w:val="right" w:pos="9072"/>
      </w:tabs>
      <w:jc w:val="both"/>
    </w:pPr>
    <w:rPr>
      <w:rFonts w:ascii="Century Gothic" w:hAnsi="Century Gothic"/>
      <w:szCs w:val="20"/>
    </w:rPr>
  </w:style>
  <w:style w:type="character" w:customStyle="1" w:styleId="lfejChar">
    <w:name w:val="Élőfej Char"/>
    <w:basedOn w:val="Bekezdsalapbettpusa"/>
    <w:link w:val="lfej"/>
    <w:uiPriority w:val="99"/>
    <w:rsid w:val="00546FBF"/>
    <w:rPr>
      <w:rFonts w:ascii="Century Gothic" w:eastAsia="Times New Roman" w:hAnsi="Century Gothic" w:cs="Times New Roman"/>
      <w:sz w:val="24"/>
      <w:szCs w:val="20"/>
      <w:lang w:eastAsia="hu-HU"/>
    </w:rPr>
  </w:style>
  <w:style w:type="character" w:styleId="Oldalszm">
    <w:name w:val="page number"/>
    <w:basedOn w:val="Bekezdsalapbettpusa"/>
    <w:rsid w:val="00546FBF"/>
  </w:style>
  <w:style w:type="paragraph" w:styleId="llb">
    <w:name w:val="footer"/>
    <w:basedOn w:val="Norml"/>
    <w:link w:val="llbChar"/>
    <w:uiPriority w:val="99"/>
    <w:rsid w:val="00546FBF"/>
    <w:pPr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llbChar">
    <w:name w:val="Élőláb Char"/>
    <w:basedOn w:val="Bekezdsalapbettpusa"/>
    <w:link w:val="llb"/>
    <w:uiPriority w:val="99"/>
    <w:rsid w:val="00546FBF"/>
    <w:rPr>
      <w:rFonts w:ascii="Times New Roman" w:eastAsia="Times New Roman" w:hAnsi="Times New Roman" w:cs="Times New Roman"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theme" Target="theme/theme1.xml"/><Relationship Id="rId5" Type="http://schemas.openxmlformats.org/officeDocument/2006/relationships/header" Target="header1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338</Words>
  <Characters>2336</Characters>
  <Application>Microsoft Office Word</Application>
  <DocSecurity>0</DocSecurity>
  <Lines>19</Lines>
  <Paragraphs>5</Paragraphs>
  <ScaleCrop>false</ScaleCrop>
  <Company>Győr MJV PH</Company>
  <LinksUpToDate>false</LinksUpToDate>
  <CharactersWithSpaces>2669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Buzál Henrietta</dc:creator>
  <cp:keywords/>
  <dc:description/>
  <cp:lastModifiedBy>Buzál Henrietta</cp:lastModifiedBy>
  <cp:revision>2</cp:revision>
  <dcterms:created xsi:type="dcterms:W3CDTF">2021-02-11T13:48:00Z</dcterms:created>
  <dcterms:modified xsi:type="dcterms:W3CDTF">2021-02-11T13:48:00Z</dcterms:modified>
</cp:coreProperties>
</file>