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CB" w:rsidRDefault="006F68CB" w:rsidP="006F68CB">
      <w:pPr>
        <w:pStyle w:val="NormlWeb"/>
        <w:tabs>
          <w:tab w:val="left" w:pos="1080"/>
          <w:tab w:val="decimal" w:pos="5812"/>
        </w:tabs>
        <w:spacing w:before="0" w:after="0" w:line="320" w:lineRule="exact"/>
        <w:jc w:val="right"/>
      </w:pPr>
      <w:r>
        <w:rPr>
          <w:bCs/>
          <w:color w:val="auto"/>
          <w:sz w:val="22"/>
          <w:szCs w:val="22"/>
        </w:rPr>
        <w:t>Az önkormányzat tulajdonában lévő önkormányzati lakások bérletéről, a lakbér mértékéről szóló 24/2011.(XII.15.) önkormányzat</w:t>
      </w:r>
      <w:r>
        <w:rPr>
          <w:bCs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i rendelet</w:t>
      </w:r>
    </w:p>
    <w:p w:rsidR="006F68CB" w:rsidRDefault="006F68CB" w:rsidP="006F68CB">
      <w:pPr>
        <w:pStyle w:val="NormlWeb"/>
        <w:tabs>
          <w:tab w:val="left" w:pos="1080"/>
          <w:tab w:val="decimal" w:pos="5812"/>
        </w:tabs>
        <w:spacing w:before="0" w:after="0" w:line="320" w:lineRule="exac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 melléklete</w:t>
      </w:r>
    </w:p>
    <w:p w:rsidR="006F68CB" w:rsidRDefault="006F68CB" w:rsidP="006F68CB">
      <w:pPr>
        <w:rPr>
          <w:rFonts w:cs="Times New Roman"/>
          <w:sz w:val="22"/>
          <w:szCs w:val="22"/>
        </w:rPr>
      </w:pPr>
      <w:bookmarkStart w:id="0" w:name="_GoBack"/>
      <w:bookmarkEnd w:id="0"/>
    </w:p>
    <w:tbl>
      <w:tblPr>
        <w:tblW w:w="10436" w:type="dxa"/>
        <w:tblInd w:w="-6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1277"/>
        <w:gridCol w:w="554"/>
        <w:gridCol w:w="696"/>
        <w:gridCol w:w="1326"/>
        <w:gridCol w:w="939"/>
        <w:gridCol w:w="1053"/>
        <w:gridCol w:w="825"/>
        <w:gridCol w:w="1656"/>
        <w:gridCol w:w="1554"/>
      </w:tblGrid>
      <w:tr w:rsidR="006F68CB" w:rsidTr="004C36E3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0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Jászfényszaru Város Önkormányzata tulajdonában lévő bérlakások  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S.sz.</w:t>
            </w:r>
          </w:p>
        </w:tc>
        <w:tc>
          <w:tcPr>
            <w:tcW w:w="25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 lakás címe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Lakás besorolása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Hrsz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Nagysága (m2)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Szobák száma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Komfortfokozat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Vagyonszerinti besorolás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1537/a-2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Szent István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1537/a-2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Szabadság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788/a-2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2/c/1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2/c/2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2/c/3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2/c/5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költségalapú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Bercsényi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2/c/6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1/a/1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1/a/2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1/a/3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1/a/4.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Deák F.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1/a/5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1079/2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2456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2318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Arany J.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2315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Vörösmarty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2529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2/b/1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2/b/2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2/b/3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1+2 fél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2/b/4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2/b/5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2/b/6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2/b/7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Bercsényi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2/b/8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1757/2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Vörösrózsa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2360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Szent Erzsébet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Bajza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30.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Dózsa György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Vasvári Pál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szociális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Rákóczi Ferenc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Szabadság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piaci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2159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összkomfortos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Szent István 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szolgálati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1539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komfortos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Gólya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utca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szükséglakás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 nélküli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Liliom</w:t>
            </w:r>
          </w:p>
        </w:tc>
        <w:tc>
          <w:tcPr>
            <w:tcW w:w="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út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szükséglakás</w:t>
            </w:r>
          </w:p>
        </w:tc>
        <w:tc>
          <w:tcPr>
            <w:tcW w:w="9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69/1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komfort nélküli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üzleti</w:t>
            </w:r>
          </w:p>
        </w:tc>
      </w:tr>
      <w:tr w:rsidR="006F68CB" w:rsidTr="004C36E3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right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F68CB" w:rsidRDefault="006F68CB" w:rsidP="004C36E3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16BFB" w:rsidRDefault="00F16BFB"/>
    <w:sectPr w:rsidR="00F16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CB"/>
    <w:rsid w:val="006F68CB"/>
    <w:rsid w:val="00C22158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0250"/>
  <w15:chartTrackingRefBased/>
  <w15:docId w15:val="{2E515DE1-837B-4D76-B9A2-56F713C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F68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F68CB"/>
    <w:pPr>
      <w:widowControl/>
      <w:suppressAutoHyphens w:val="0"/>
      <w:spacing w:before="100" w:after="100"/>
      <w:textAlignment w:val="auto"/>
    </w:pPr>
    <w:rPr>
      <w:rFonts w:eastAsia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2</cp:revision>
  <dcterms:created xsi:type="dcterms:W3CDTF">2018-11-19T09:32:00Z</dcterms:created>
  <dcterms:modified xsi:type="dcterms:W3CDTF">2018-11-19T09:33:00Z</dcterms:modified>
</cp:coreProperties>
</file>