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54" w:rsidRDefault="00D86D54" w:rsidP="00D86D54">
      <w:pPr>
        <w:jc w:val="center"/>
        <w:rPr>
          <w:b/>
        </w:rPr>
      </w:pPr>
      <w:r>
        <w:rPr>
          <w:b/>
        </w:rPr>
        <w:t>Borsodivánka község Önkormányzata Képviselő-testületének</w:t>
      </w:r>
    </w:p>
    <w:p w:rsidR="00D86D54" w:rsidRDefault="00D86D54" w:rsidP="00D86D54">
      <w:pPr>
        <w:jc w:val="center"/>
        <w:rPr>
          <w:b/>
        </w:rPr>
      </w:pPr>
      <w:r>
        <w:rPr>
          <w:b/>
        </w:rPr>
        <w:t>1/2018. (II. 15.) önkormányzati rendelete</w:t>
      </w:r>
    </w:p>
    <w:p w:rsidR="00D86D54" w:rsidRDefault="00D86D54" w:rsidP="00D86D54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2018. évi költségvetéséről</w:t>
      </w:r>
    </w:p>
    <w:p w:rsidR="00D86D54" w:rsidRDefault="00D86D54" w:rsidP="00D86D54">
      <w:pPr>
        <w:jc w:val="both"/>
      </w:pPr>
    </w:p>
    <w:p w:rsidR="00D86D54" w:rsidRDefault="00D86D54" w:rsidP="00D86D54">
      <w:pPr>
        <w:spacing w:line="276" w:lineRule="auto"/>
        <w:ind w:left="142"/>
        <w:jc w:val="both"/>
      </w:pPr>
      <w:r>
        <w:t>Borsodivánka Község Önkormányzatának Képviselő-testülete az Alaptörvény 32. cikk (2) bekezdésében foglalt eredeti jogalkotói hatáskörében az Alaptörvény 32. cikk (1) bekezdése f) pontjában meghatározott feladatkörében eljárva a következőket rendeli el:</w:t>
      </w:r>
    </w:p>
    <w:p w:rsidR="00D86D54" w:rsidRDefault="00D86D54" w:rsidP="00D86D54">
      <w:pPr>
        <w:jc w:val="both"/>
        <w:rPr>
          <w:b/>
        </w:rPr>
      </w:pPr>
    </w:p>
    <w:p w:rsidR="00D86D54" w:rsidRDefault="00D86D54" w:rsidP="00D86D54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D86D54" w:rsidRDefault="00D86D54" w:rsidP="00D86D54">
      <w:pPr>
        <w:jc w:val="both"/>
        <w:rPr>
          <w:b/>
        </w:rPr>
      </w:pPr>
    </w:p>
    <w:p w:rsidR="00D86D54" w:rsidRDefault="00D86D54" w:rsidP="00D86D54">
      <w:pPr>
        <w:jc w:val="both"/>
      </w:pPr>
      <w:r>
        <w:t>1.§ (1) A képviselő-testület az Önkormányzat 201</w:t>
      </w:r>
      <w:r w:rsidR="00380E85">
        <w:t>8</w:t>
      </w:r>
      <w:r>
        <w:t>. évi költségvetésének</w:t>
      </w:r>
    </w:p>
    <w:p w:rsidR="00D86D54" w:rsidRDefault="00D86D54" w:rsidP="00D86D54">
      <w:pPr>
        <w:jc w:val="both"/>
      </w:pPr>
    </w:p>
    <w:tbl>
      <w:tblPr>
        <w:tblW w:w="9495" w:type="dxa"/>
        <w:tblInd w:w="250" w:type="dxa"/>
        <w:tblLayout w:type="fixed"/>
        <w:tblLook w:val="04A0"/>
      </w:tblPr>
      <w:tblGrid>
        <w:gridCol w:w="6377"/>
        <w:gridCol w:w="567"/>
        <w:gridCol w:w="1984"/>
        <w:gridCol w:w="567"/>
      </w:tblGrid>
      <w:tr w:rsidR="00D86D54" w:rsidTr="00D86D54">
        <w:trPr>
          <w:gridAfter w:val="1"/>
          <w:wAfter w:w="567" w:type="dxa"/>
          <w:trHeight w:val="80"/>
        </w:trPr>
        <w:tc>
          <w:tcPr>
            <w:tcW w:w="6379" w:type="dxa"/>
            <w:hideMark/>
          </w:tcPr>
          <w:p w:rsidR="00D86D54" w:rsidRDefault="00D86D54">
            <w:pPr>
              <w:snapToGrid w:val="0"/>
              <w:ind w:left="709" w:hanging="709"/>
              <w:rPr>
                <w:b/>
              </w:rPr>
            </w:pPr>
            <w:r>
              <w:rPr>
                <w:b/>
              </w:rPr>
              <w:t>a) Bevételi főösszegét</w:t>
            </w:r>
          </w:p>
        </w:tc>
        <w:tc>
          <w:tcPr>
            <w:tcW w:w="2551" w:type="dxa"/>
            <w:gridSpan w:val="2"/>
            <w:hideMark/>
          </w:tcPr>
          <w:p w:rsidR="00D86D54" w:rsidRDefault="00D86D5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118 889 075 Ft-ban</w:t>
            </w:r>
          </w:p>
        </w:tc>
      </w:tr>
      <w:tr w:rsidR="00D86D54" w:rsidTr="00D86D54">
        <w:trPr>
          <w:gridAfter w:val="1"/>
          <w:wAfter w:w="567" w:type="dxa"/>
        </w:trPr>
        <w:tc>
          <w:tcPr>
            <w:tcW w:w="6379" w:type="dxa"/>
          </w:tcPr>
          <w:p w:rsidR="00D86D54" w:rsidRDefault="00D86D54">
            <w:pPr>
              <w:snapToGrid w:val="0"/>
              <w:jc w:val="both"/>
            </w:pPr>
          </w:p>
        </w:tc>
        <w:tc>
          <w:tcPr>
            <w:tcW w:w="2551" w:type="dxa"/>
            <w:gridSpan w:val="2"/>
          </w:tcPr>
          <w:p w:rsidR="00D86D54" w:rsidRDefault="00D86D54">
            <w:pPr>
              <w:snapToGrid w:val="0"/>
              <w:jc w:val="right"/>
              <w:rPr>
                <w:b/>
              </w:rPr>
            </w:pPr>
          </w:p>
        </w:tc>
      </w:tr>
      <w:tr w:rsidR="00D86D54" w:rsidTr="00D86D54">
        <w:tc>
          <w:tcPr>
            <w:tcW w:w="6946" w:type="dxa"/>
            <w:gridSpan w:val="2"/>
            <w:hideMark/>
          </w:tcPr>
          <w:p w:rsidR="00D86D54" w:rsidRDefault="00D86D54">
            <w:pPr>
              <w:snapToGrid w:val="0"/>
              <w:rPr>
                <w:b/>
              </w:rPr>
            </w:pPr>
            <w:r>
              <w:rPr>
                <w:b/>
              </w:rPr>
              <w:t>b) Kiadási főösszegét</w:t>
            </w:r>
          </w:p>
        </w:tc>
        <w:tc>
          <w:tcPr>
            <w:tcW w:w="2551" w:type="dxa"/>
            <w:gridSpan w:val="2"/>
            <w:hideMark/>
          </w:tcPr>
          <w:p w:rsidR="00D86D54" w:rsidRDefault="00D86D54">
            <w:pPr>
              <w:snapToGrid w:val="0"/>
              <w:ind w:left="-108"/>
              <w:rPr>
                <w:b/>
                <w:highlight w:val="red"/>
              </w:rPr>
            </w:pPr>
            <w:r>
              <w:rPr>
                <w:b/>
              </w:rPr>
              <w:t>118 889 075 Ft-ban</w:t>
            </w:r>
          </w:p>
        </w:tc>
      </w:tr>
      <w:tr w:rsidR="00D86D54" w:rsidTr="00D86D54">
        <w:trPr>
          <w:gridAfter w:val="1"/>
          <w:wAfter w:w="567" w:type="dxa"/>
        </w:trPr>
        <w:tc>
          <w:tcPr>
            <w:tcW w:w="6379" w:type="dxa"/>
          </w:tcPr>
          <w:p w:rsidR="00D86D54" w:rsidRDefault="00D86D54">
            <w:pPr>
              <w:snapToGrid w:val="0"/>
              <w:jc w:val="both"/>
            </w:pPr>
          </w:p>
        </w:tc>
        <w:tc>
          <w:tcPr>
            <w:tcW w:w="2551" w:type="dxa"/>
            <w:gridSpan w:val="2"/>
          </w:tcPr>
          <w:p w:rsidR="00D86D54" w:rsidRDefault="00D86D54">
            <w:pPr>
              <w:snapToGrid w:val="0"/>
              <w:jc w:val="right"/>
              <w:rPr>
                <w:b/>
              </w:rPr>
            </w:pPr>
          </w:p>
        </w:tc>
      </w:tr>
      <w:tr w:rsidR="00D86D54" w:rsidTr="00D86D54">
        <w:trPr>
          <w:gridAfter w:val="1"/>
          <w:wAfter w:w="567" w:type="dxa"/>
        </w:trPr>
        <w:tc>
          <w:tcPr>
            <w:tcW w:w="6379" w:type="dxa"/>
            <w:hideMark/>
          </w:tcPr>
          <w:p w:rsidR="00D86D54" w:rsidRDefault="00D86D54">
            <w:pPr>
              <w:snapToGrid w:val="0"/>
              <w:rPr>
                <w:b/>
              </w:rPr>
            </w:pPr>
            <w:r>
              <w:rPr>
                <w:b/>
              </w:rPr>
              <w:t>állapítja meg.</w:t>
            </w:r>
          </w:p>
        </w:tc>
        <w:tc>
          <w:tcPr>
            <w:tcW w:w="2551" w:type="dxa"/>
            <w:gridSpan w:val="2"/>
          </w:tcPr>
          <w:p w:rsidR="00D86D54" w:rsidRDefault="00D86D54">
            <w:pPr>
              <w:snapToGrid w:val="0"/>
              <w:jc w:val="right"/>
              <w:rPr>
                <w:b/>
              </w:rPr>
            </w:pPr>
          </w:p>
        </w:tc>
      </w:tr>
    </w:tbl>
    <w:p w:rsidR="00D86D54" w:rsidRDefault="00D86D54" w:rsidP="00D86D54">
      <w:pPr>
        <w:ind w:left="709" w:hanging="567"/>
      </w:pPr>
    </w:p>
    <w:p w:rsidR="00D86D54" w:rsidRDefault="00D86D54" w:rsidP="00D86D54">
      <w:pPr>
        <w:ind w:left="284" w:hanging="567"/>
      </w:pPr>
      <w:r>
        <w:t xml:space="preserve">         (2)  A bevételi főösszeg az alábbi finanszírozási bevételeket tartalmazza:</w:t>
      </w:r>
    </w:p>
    <w:tbl>
      <w:tblPr>
        <w:tblW w:w="0" w:type="auto"/>
        <w:tblInd w:w="709" w:type="dxa"/>
        <w:tblLayout w:type="fixed"/>
        <w:tblLook w:val="04A0"/>
      </w:tblPr>
      <w:tblGrid>
        <w:gridCol w:w="5920"/>
        <w:gridCol w:w="2126"/>
      </w:tblGrid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ca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működési maradványa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175"/>
              <w:jc w:val="right"/>
              <w:rPr>
                <w:b/>
                <w:highlight w:val="red"/>
              </w:rPr>
            </w:pPr>
            <w:r>
              <w:rPr>
                <w:b/>
              </w:rPr>
              <w:t>5 759 389.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cb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felhalmozási maradványa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459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 15 000 000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cc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működési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317"/>
              <w:jc w:val="right"/>
              <w:rPr>
                <w:b/>
                <w:highlight w:val="red"/>
              </w:rPr>
            </w:pPr>
            <w:r>
              <w:rPr>
                <w:b/>
              </w:rPr>
              <w:t>0.Ft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r>
              <w:t>cd</w:t>
            </w:r>
            <w:proofErr w:type="gramStart"/>
            <w:r>
              <w:t xml:space="preserve">)        </w:t>
            </w:r>
            <w:r>
              <w:rPr>
                <w:b/>
              </w:rPr>
              <w:t>felhalmozási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  <w:p w:rsidR="00D86D54" w:rsidRDefault="00D86D54">
            <w:pPr>
              <w:snapToGrid w:val="0"/>
              <w:ind w:left="142"/>
            </w:pPr>
            <w:proofErr w:type="spellStart"/>
            <w:r>
              <w:t>ce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központi</w:t>
            </w:r>
            <w:proofErr w:type="gramEnd"/>
            <w:r>
              <w:rPr>
                <w:b/>
              </w:rPr>
              <w:t xml:space="preserve"> irányítószervi támogatás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0 Ft</w:t>
            </w:r>
          </w:p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8 596 205.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cf</w:t>
            </w:r>
            <w:proofErr w:type="spellEnd"/>
            <w:proofErr w:type="gramStart"/>
            <w:r>
              <w:rPr>
                <w:b/>
              </w:rPr>
              <w:t>)         betétek</w:t>
            </w:r>
            <w:proofErr w:type="gramEnd"/>
            <w:r>
              <w:rPr>
                <w:b/>
              </w:rPr>
              <w:t xml:space="preserve"> megszüntetése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0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r>
              <w:t>cg</w:t>
            </w:r>
            <w:proofErr w:type="gramStart"/>
            <w:r>
              <w:rPr>
                <w:b/>
              </w:rPr>
              <w:t>)        likviditási</w:t>
            </w:r>
            <w:proofErr w:type="gramEnd"/>
            <w:r>
              <w:rPr>
                <w:b/>
              </w:rPr>
              <w:t xml:space="preserve"> célú hitel igénybevétele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 xml:space="preserve"> 0 Ft</w:t>
            </w:r>
          </w:p>
        </w:tc>
      </w:tr>
    </w:tbl>
    <w:p w:rsidR="00D86D54" w:rsidRDefault="00D86D54" w:rsidP="00D86D54">
      <w:pPr>
        <w:jc w:val="both"/>
      </w:pP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2.§ Az 1. § (1) bekezdés a) pontjában meghatározott </w:t>
      </w:r>
      <w:r>
        <w:rPr>
          <w:b/>
        </w:rPr>
        <w:t>költségvetési bevételek nem tartalmaznak</w:t>
      </w:r>
      <w:r>
        <w:t xml:space="preserve"> fejlesztési célú illetve működési hitelfelvételt. </w:t>
      </w:r>
    </w:p>
    <w:p w:rsidR="00D86D54" w:rsidRDefault="00D86D54" w:rsidP="00D86D54">
      <w:pPr>
        <w:ind w:left="426" w:hanging="426"/>
        <w:jc w:val="both"/>
        <w:rPr>
          <w:b/>
        </w:rPr>
      </w:pP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3.§ Az 1. § (1) bekezdés b) pontjában meghatározott </w:t>
      </w:r>
      <w:r>
        <w:rPr>
          <w:b/>
        </w:rPr>
        <w:t>költségvetési kiadások nem tartalmaznak</w:t>
      </w:r>
      <w:r>
        <w:t xml:space="preserve"> működési, illetve felhalmozási hiteltörlesztést.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709" w:hanging="709"/>
        <w:jc w:val="both"/>
      </w:pPr>
      <w:r>
        <w:t>4.§ (1) Az 1. § (1) bekezdés a) pontjában megállapított</w:t>
      </w:r>
      <w:r>
        <w:rPr>
          <w:b/>
        </w:rPr>
        <w:t xml:space="preserve"> költségvetési bevételi főösszeg </w:t>
      </w:r>
      <w:r>
        <w:t>költségvetési címek és kiemelt előirányzatok szerinti részletezését e rendelet 1, valamint a 10 – 23. melléklete tartalmazza. A költségvetési intézmények és az önkormányzat bevételeit kötelező, önként vállalt és államigazgatási feladatok szerinti bontásban az 37. . melléklet tartalmazza.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851" w:hanging="425"/>
        <w:jc w:val="both"/>
      </w:pPr>
      <w:r>
        <w:t>(2) Az 1. § (1) bekezdés b) pontjában megállapított</w:t>
      </w:r>
      <w:r>
        <w:rPr>
          <w:b/>
        </w:rPr>
        <w:t xml:space="preserve"> költségvetési kiadási főösszeg</w:t>
      </w:r>
      <w:r>
        <w:t xml:space="preserve"> költségvetési címek és kiemelt előirányzatok szerinti részletezését e rendelet 1</w:t>
      </w:r>
      <w:proofErr w:type="gramStart"/>
      <w:r>
        <w:t>.,</w:t>
      </w:r>
      <w:proofErr w:type="gramEnd"/>
      <w:r>
        <w:t xml:space="preserve"> a 2 -9. valamint a 24-26. melléklete tartalmazza. A költségvetési intézmények kiadását kötelező, önként vállalt és államigazgatási feladatok szerinti bontásban az 36</w:t>
      </w:r>
      <w:proofErr w:type="gramStart"/>
      <w:r>
        <w:t>.,</w:t>
      </w:r>
      <w:proofErr w:type="gramEnd"/>
      <w:r>
        <w:t xml:space="preserve"> az önkormányzat kiadásait pedig az 36. melléklet tartalmazza.</w:t>
      </w:r>
    </w:p>
    <w:p w:rsidR="00D86D54" w:rsidRDefault="00D86D54" w:rsidP="00D86D54">
      <w:pPr>
        <w:ind w:left="851" w:hanging="851"/>
        <w:jc w:val="both"/>
      </w:pPr>
      <w:r>
        <w:t xml:space="preserve">5.§ (1) Az Önkormányzat költségvetésében szereplő </w:t>
      </w:r>
      <w:r>
        <w:rPr>
          <w:b/>
        </w:rPr>
        <w:t>felújítási kiadási előirányzat</w:t>
      </w:r>
      <w:r>
        <w:t xml:space="preserve"> célonkénti részletezését e rendelet 24. melléklete tartalmazza.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tabs>
          <w:tab w:val="left" w:pos="426"/>
        </w:tabs>
        <w:ind w:left="851" w:hanging="851"/>
        <w:jc w:val="both"/>
      </w:pPr>
      <w:r>
        <w:t xml:space="preserve">       (2) Az Önkormányzat költségvetésében szereplő </w:t>
      </w:r>
      <w:r>
        <w:rPr>
          <w:b/>
        </w:rPr>
        <w:t xml:space="preserve">beruházási kiadási előirányzat </w:t>
      </w:r>
      <w:r>
        <w:t>feladatonkénti részletezését e rendelet 25. melléklete tartalmazza.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426" w:hanging="426"/>
        <w:jc w:val="both"/>
      </w:pPr>
      <w:r>
        <w:lastRenderedPageBreak/>
        <w:t xml:space="preserve">6.§   A képviselő testület a költségvetési kiadási főösszegen belül </w:t>
      </w:r>
    </w:p>
    <w:p w:rsidR="00D86D54" w:rsidRDefault="00D86D54" w:rsidP="00D86D54">
      <w:pPr>
        <w:overflowPunct w:val="0"/>
        <w:autoSpaceDE w:val="0"/>
        <w:ind w:left="1843"/>
        <w:jc w:val="both"/>
        <w:textAlignment w:val="baseline"/>
        <w:rPr>
          <w:b/>
        </w:rPr>
      </w:pPr>
      <w:proofErr w:type="gramStart"/>
      <w:r>
        <w:t>a</w:t>
      </w:r>
      <w:proofErr w:type="gramEnd"/>
      <w:r>
        <w:t xml:space="preserve">) 5 759 383.- Ft összegű </w:t>
      </w:r>
      <w:r>
        <w:rPr>
          <w:b/>
        </w:rPr>
        <w:t>általános (kockázati) tartalékot, és</w:t>
      </w:r>
    </w:p>
    <w:p w:rsidR="00D86D54" w:rsidRDefault="00D86D54" w:rsidP="00D86D54">
      <w:pPr>
        <w:overflowPunct w:val="0"/>
        <w:autoSpaceDE w:val="0"/>
        <w:ind w:left="1843"/>
        <w:jc w:val="both"/>
        <w:textAlignment w:val="baseline"/>
      </w:pPr>
      <w:r>
        <w:t>b) 15 000 000.- Ft összegű</w:t>
      </w:r>
      <w:r>
        <w:rPr>
          <w:b/>
        </w:rPr>
        <w:t xml:space="preserve"> céltartalékot</w:t>
      </w:r>
      <w:r>
        <w:t xml:space="preserve"> állapít meg. </w:t>
      </w:r>
    </w:p>
    <w:p w:rsidR="00D86D54" w:rsidRDefault="00D86D54" w:rsidP="00D86D54">
      <w:pPr>
        <w:jc w:val="both"/>
      </w:pPr>
    </w:p>
    <w:p w:rsidR="00D86D54" w:rsidRDefault="00D86D54" w:rsidP="00D86D54">
      <w:pPr>
        <w:ind w:left="709" w:hanging="709"/>
        <w:jc w:val="both"/>
      </w:pPr>
      <w:r>
        <w:t>7.§ (1) A működési bevételek növelése érdekében pályázatot kell benyújtani a Belügyminisztérium felé működési támogatás igénylésére.</w:t>
      </w:r>
    </w:p>
    <w:p w:rsidR="00D86D54" w:rsidRDefault="00D86D54" w:rsidP="00D86D54">
      <w:pPr>
        <w:jc w:val="both"/>
      </w:pPr>
    </w:p>
    <w:p w:rsidR="00D86D54" w:rsidRDefault="00D86D54" w:rsidP="00D86D54">
      <w:pPr>
        <w:ind w:left="851" w:hanging="425"/>
        <w:jc w:val="both"/>
      </w:pPr>
      <w:r>
        <w:t xml:space="preserve">(2) A Képviselő-testület az önkormányzat 2017. évi maradványát a 2018. évi költségvetés feladatai finanszírozásába bevonja. Az intézményi maradvány elszámolás során az Önkormányzatot illeti meg a végleges feladatelmaradás miatti összeg, a meghatározott célra rendelkezésre bocsátott összegek maradványa. </w:t>
      </w:r>
    </w:p>
    <w:p w:rsidR="00D86D54" w:rsidRDefault="00D86D54" w:rsidP="00D86D54">
      <w:pPr>
        <w:ind w:left="851" w:hanging="425"/>
        <w:jc w:val="both"/>
      </w:pPr>
    </w:p>
    <w:p w:rsidR="00D86D54" w:rsidRDefault="00D86D54" w:rsidP="00D86D54">
      <w:pPr>
        <w:ind w:left="851" w:hanging="425"/>
        <w:jc w:val="both"/>
      </w:pPr>
      <w:r>
        <w:t>(3) A Képviselő-testület a 201</w:t>
      </w:r>
      <w:r w:rsidR="00380E85">
        <w:t>8</w:t>
      </w:r>
      <w:r>
        <w:t>. évi gazdálkodás intézményi pénzmaradványát a gazdálkodási helyzetének ismeretében az intézményétől elvonhatja.</w:t>
      </w:r>
    </w:p>
    <w:p w:rsidR="00D86D54" w:rsidRDefault="00D86D54" w:rsidP="00D86D54">
      <w:pPr>
        <w:ind w:left="851" w:hanging="425"/>
        <w:jc w:val="both"/>
      </w:pPr>
    </w:p>
    <w:p w:rsidR="00D86D54" w:rsidRDefault="00D86D54" w:rsidP="00D86D54">
      <w:pPr>
        <w:ind w:left="426" w:hanging="426"/>
        <w:jc w:val="both"/>
      </w:pPr>
      <w:r>
        <w:t xml:space="preserve"> 8.§ A Képviselő-testület a költségvetési szervek </w:t>
      </w:r>
      <w:r>
        <w:rPr>
          <w:b/>
        </w:rPr>
        <w:t xml:space="preserve">létszámkeretét </w:t>
      </w:r>
      <w:r>
        <w:t xml:space="preserve">e rendelet 27. melléklet, a közfoglalkoztatottak éves létszámkeretét a 28. melléklet szerint határozza meg. </w:t>
      </w:r>
    </w:p>
    <w:p w:rsidR="00D86D54" w:rsidRDefault="00D86D54" w:rsidP="00D86D54">
      <w:pPr>
        <w:ind w:left="486" w:hanging="486"/>
        <w:jc w:val="both"/>
      </w:pPr>
    </w:p>
    <w:p w:rsidR="00D86D54" w:rsidRDefault="00D86D54" w:rsidP="00D86D54">
      <w:pPr>
        <w:ind w:left="426" w:hanging="426"/>
        <w:jc w:val="both"/>
      </w:pPr>
      <w:r>
        <w:t>9.§ Az önkormányzati szintű</w:t>
      </w:r>
      <w:r>
        <w:rPr>
          <w:b/>
        </w:rPr>
        <w:t xml:space="preserve"> működési és felhalmozási célú bevételi és kiadási</w:t>
      </w:r>
      <w:r>
        <w:t xml:space="preserve"> </w:t>
      </w:r>
      <w:r>
        <w:rPr>
          <w:b/>
        </w:rPr>
        <w:t>előirányzatok</w:t>
      </w:r>
      <w:r>
        <w:t xml:space="preserve">at - tájékoztató jelleggel – </w:t>
      </w:r>
      <w:r>
        <w:rPr>
          <w:b/>
        </w:rPr>
        <w:t>mérlegszerűen,</w:t>
      </w:r>
      <w:r>
        <w:t xml:space="preserve"> egymástól elkülönítetten, de –a finanszírozási műveleteket is figyelembe véve – együttesen egyensúlyban a rendelet 29. melléklete tartalmazza.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ind w:left="426" w:hanging="568"/>
        <w:jc w:val="both"/>
      </w:pPr>
      <w:r>
        <w:t xml:space="preserve"> 10.§ Az önkormányzat </w:t>
      </w:r>
      <w:r>
        <w:rPr>
          <w:rFonts w:cs="Times New Roman"/>
          <w:b/>
          <w:bCs/>
          <w:lang w:eastAsia="hu-HU"/>
        </w:rPr>
        <w:t>saját bevételeinek és az adósságot keletkeztető ügyleteiből eredő fizetési kötelezettségének</w:t>
      </w:r>
      <w:r>
        <w:rPr>
          <w:rFonts w:cs="Times New Roman"/>
          <w:bCs/>
          <w:lang w:eastAsia="hu-HU"/>
        </w:rPr>
        <w:t xml:space="preserve"> bemutatását e rendelet 30. melléklet tartalmazza. 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567" w:hanging="567"/>
        <w:jc w:val="both"/>
      </w:pPr>
      <w:r>
        <w:t>11.§ A 201</w:t>
      </w:r>
      <w:r w:rsidR="00380E85">
        <w:t>8</w:t>
      </w:r>
      <w:r>
        <w:t xml:space="preserve">. év várható bevételi és kiadási előirányzatainak teljesülésére vonatkozó </w:t>
      </w:r>
      <w:r>
        <w:rPr>
          <w:b/>
        </w:rPr>
        <w:t>előirányzat-felhasználási ütemtervet</w:t>
      </w:r>
      <w:r>
        <w:t xml:space="preserve"> e rendelet 31. melléklete tartalmazza.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567" w:hanging="567"/>
        <w:jc w:val="both"/>
      </w:pPr>
      <w:r>
        <w:t xml:space="preserve">12.§ A </w:t>
      </w:r>
      <w:r>
        <w:rPr>
          <w:b/>
        </w:rPr>
        <w:t>kiemelt előirányzatokat</w:t>
      </w:r>
      <w:r>
        <w:t xml:space="preserve"> év közben a polgármester és az intézményvezető átcsoportosíthatja.</w:t>
      </w:r>
    </w:p>
    <w:p w:rsidR="00D86D54" w:rsidRDefault="00D86D54" w:rsidP="00D86D54">
      <w:pPr>
        <w:ind w:left="426"/>
        <w:jc w:val="center"/>
        <w:rPr>
          <w:b/>
        </w:rPr>
      </w:pPr>
    </w:p>
    <w:p w:rsidR="00D86D54" w:rsidRDefault="00D86D54" w:rsidP="00D86D54">
      <w:pPr>
        <w:ind w:left="426"/>
        <w:jc w:val="center"/>
        <w:rPr>
          <w:b/>
        </w:rPr>
      </w:pPr>
      <w:r>
        <w:rPr>
          <w:b/>
        </w:rPr>
        <w:t>A költségvetés végrehajtásának szabályai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12.§ (1) A Képviselő-testület a jóváhagyott kiemelt előirányzatok és létszámkeretek közötti átcsoportosítás és előirányzat-módosítás jogát minden esetben fenntartja magának.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         (2) Évközben felmerülő kötelezettségvállalásra csak a költségvetési rendelet egyidejű módosításával és a fedezet megjelölésével kerülhet sor. </w:t>
      </w:r>
    </w:p>
    <w:p w:rsidR="00D86D54" w:rsidRDefault="00D86D54" w:rsidP="00D86D54">
      <w:pPr>
        <w:ind w:left="426" w:hanging="426"/>
        <w:jc w:val="both"/>
        <w:rPr>
          <w:i/>
        </w:rPr>
      </w:pPr>
    </w:p>
    <w:p w:rsidR="00D86D54" w:rsidRDefault="00D86D54" w:rsidP="00D86D54">
      <w:pPr>
        <w:ind w:left="851" w:hanging="851"/>
        <w:jc w:val="both"/>
      </w:pPr>
      <w:r>
        <w:t>13.§ 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>
        <w:t>optima</w:t>
      </w:r>
      <w:proofErr w:type="spellEnd"/>
      <w:proofErr w:type="gramStart"/>
      <w:r>
        <w:t>” ,</w:t>
      </w:r>
      <w:proofErr w:type="gramEnd"/>
      <w:r>
        <w:t xml:space="preserve"> illetve „prémium” nyílt végű befektetési jegyet, illetve tőkegarantált pénzpiaci befektetési jegyet vásároljon, illetve deviza ügyleteket bonyolítson.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1"/>
        </w:numPr>
        <w:jc w:val="both"/>
      </w:pPr>
      <w:r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</w:t>
      </w:r>
      <w:r>
        <w:lastRenderedPageBreak/>
        <w:t xml:space="preserve">beruházás, felhalmozási célú pénzeszközátadás) finanszírozására, valamint felhalmozási hitel és kamatának törlesztésére fordítható. </w:t>
      </w:r>
    </w:p>
    <w:p w:rsidR="00D86D54" w:rsidRDefault="00D86D54" w:rsidP="00D86D54">
      <w:pPr>
        <w:ind w:left="426" w:hanging="246"/>
        <w:jc w:val="both"/>
      </w:pPr>
    </w:p>
    <w:p w:rsidR="00D86D54" w:rsidRDefault="00D86D54" w:rsidP="00D86D54">
      <w:pPr>
        <w:pStyle w:val="Szvegtrzsbehzssal21"/>
        <w:numPr>
          <w:ilvl w:val="0"/>
          <w:numId w:val="1"/>
        </w:numPr>
        <w:spacing w:line="240" w:lineRule="auto"/>
        <w:jc w:val="both"/>
      </w:pPr>
      <w:r>
        <w:t xml:space="preserve">Az önkormányzat felhalmozási bevételként veszi számba az önkormányzati vagyon bérbeadásából származó bérleti díjbevételeket tekintettel arra, hogy azt a bevételt ugyanazon vagyontárgyak felhalmozási és felújítási célú felhasználására fordítja. </w:t>
      </w:r>
    </w:p>
    <w:p w:rsidR="00D86D54" w:rsidRDefault="00D86D54" w:rsidP="00D86D54">
      <w:pPr>
        <w:ind w:left="993" w:hanging="850"/>
        <w:jc w:val="both"/>
      </w:pPr>
    </w:p>
    <w:p w:rsidR="00D86D54" w:rsidRDefault="00D86D54" w:rsidP="00D86D54">
      <w:pPr>
        <w:ind w:left="927" w:hanging="927"/>
        <w:jc w:val="both"/>
      </w:pPr>
      <w:r>
        <w:t xml:space="preserve">14.§ (1) A költségvetési előirányzatok feletti rendelkezési jogosultság tekintetében a költségvetési szervek vezetői teljes jogkörrel rendelkeznek.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993"/>
        </w:tabs>
        <w:jc w:val="both"/>
      </w:pPr>
      <w:r>
        <w:t>A karbantartási feladatokat döntően a II. félévben kell elvégezni - kivéve a közvetlen életveszély, balesetveszély elhárítására vonatkozó kiadásokat-, melyet az intézményvezetőknek a kötelezettségvállalást megelőzően a polgármesterrel, illetve a jegyzővel egyeztetni szükséges.</w:t>
      </w:r>
    </w:p>
    <w:p w:rsidR="00D86D54" w:rsidRDefault="00D86D54" w:rsidP="00D86D54">
      <w:pPr>
        <w:pStyle w:val="Szvegtrzsbehzssal23"/>
        <w:ind w:left="786"/>
      </w:pPr>
    </w:p>
    <w:p w:rsidR="00D86D54" w:rsidRDefault="00D86D54" w:rsidP="00D86D54">
      <w:pPr>
        <w:pStyle w:val="Szvegtrzsbehzssal23"/>
        <w:numPr>
          <w:ilvl w:val="0"/>
          <w:numId w:val="3"/>
        </w:numPr>
        <w:ind w:left="993" w:hanging="426"/>
      </w:pPr>
      <w:r>
        <w:t>A nem rendszeres személyi juttatások között kell megtervezni – a Közalkalmazottak jogállásáról szóló 1992. évi XXXIII. törvény (a továbbiakban: Kjt.) 77.§</w:t>
      </w:r>
      <w:proofErr w:type="spellStart"/>
      <w:r>
        <w:t>-ának</w:t>
      </w:r>
      <w:proofErr w:type="spellEnd"/>
      <w:r>
        <w:t xml:space="preserve"> (1) bekezdése szerinti feltételek fennállása esetén – a Magyarország 2017. évi központi költségvetéséről szóló 2016. évi XC. törvény 60. § (2) bekezdésében meghatározott kereset-kiegészítést, melynek alapja a keresetbe tartozó juttatások előző évi bázis előirányzatának 2%-</w:t>
      </w:r>
      <w:proofErr w:type="gramStart"/>
      <w:r>
        <w:t>a.</w:t>
      </w:r>
      <w:proofErr w:type="gramEnd"/>
      <w:r>
        <w:t xml:space="preserve"> Az előirányzat felhasználására az irányító szerv vezetőjével történt egyeztetést követően kerülhet sor.</w:t>
      </w:r>
    </w:p>
    <w:p w:rsidR="00D86D54" w:rsidRDefault="00D86D54" w:rsidP="00D86D54">
      <w:pPr>
        <w:pStyle w:val="Szvegtrzsbehzssal23"/>
        <w:ind w:left="0"/>
      </w:pPr>
    </w:p>
    <w:p w:rsidR="00D86D54" w:rsidRDefault="00D86D54" w:rsidP="00D86D54">
      <w:pPr>
        <w:tabs>
          <w:tab w:val="left" w:pos="567"/>
        </w:tabs>
        <w:ind w:left="993" w:hanging="993"/>
        <w:jc w:val="both"/>
      </w:pPr>
      <w:r>
        <w:t xml:space="preserve">15.§ (1) A költségvetési szervek a saját működési bevételük eredeti, illetve módosított előirányzatot meghaladó többletbevételének 50 %-át - a képviselő-testület döntését követően - saját hatáskörben felhasználhatják, míg a másik 50 % az önkormányzat            </w:t>
      </w:r>
    </w:p>
    <w:p w:rsidR="00D86D54" w:rsidRDefault="00D86D54" w:rsidP="00D86D54">
      <w:pPr>
        <w:tabs>
          <w:tab w:val="left" w:pos="567"/>
        </w:tabs>
        <w:ind w:left="993" w:hanging="993"/>
        <w:jc w:val="both"/>
      </w:pPr>
      <w:r>
        <w:t xml:space="preserve">                </w:t>
      </w:r>
      <w:proofErr w:type="gramStart"/>
      <w:r>
        <w:t>bevételét</w:t>
      </w:r>
      <w:proofErr w:type="gramEnd"/>
      <w:r>
        <w:t xml:space="preserve"> képezi. A saját bevételek felhasználását az irányító szerv vezetőjével engedélyeztetni szükséges.</w:t>
      </w:r>
    </w:p>
    <w:p w:rsidR="00D86D54" w:rsidRDefault="00D86D54" w:rsidP="00D86D54">
      <w:pPr>
        <w:tabs>
          <w:tab w:val="left" w:pos="567"/>
        </w:tabs>
        <w:ind w:left="993" w:hanging="993"/>
        <w:jc w:val="both"/>
      </w:pPr>
    </w:p>
    <w:p w:rsidR="00D86D54" w:rsidRDefault="00D86D54" w:rsidP="00D86D54">
      <w:pPr>
        <w:numPr>
          <w:ilvl w:val="0"/>
          <w:numId w:val="4"/>
        </w:numPr>
        <w:tabs>
          <w:tab w:val="left" w:pos="993"/>
        </w:tabs>
        <w:ind w:left="993" w:hanging="426"/>
        <w:jc w:val="both"/>
      </w:pPr>
      <w:r>
        <w:t>A Képviselő-testület által jóváhagyott kiemelt előirányzatokat valamennyi költségvetési szerv köteles betartani. A kiadási előirányzat túllépés fegyelmi felelősséget von maga után.</w:t>
      </w:r>
    </w:p>
    <w:p w:rsidR="00D86D54" w:rsidRDefault="00D86D54" w:rsidP="00D86D54">
      <w:pPr>
        <w:pStyle w:val="Szvegtrzsbehzssal23"/>
      </w:pPr>
    </w:p>
    <w:p w:rsidR="00D86D54" w:rsidRDefault="00D86D54" w:rsidP="00D86D54">
      <w:pPr>
        <w:numPr>
          <w:ilvl w:val="0"/>
          <w:numId w:val="4"/>
        </w:numPr>
        <w:tabs>
          <w:tab w:val="clear" w:pos="0"/>
          <w:tab w:val="num" w:pos="567"/>
        </w:tabs>
        <w:overflowPunct w:val="0"/>
        <w:autoSpaceDE w:val="0"/>
        <w:ind w:left="993" w:hanging="426"/>
        <w:jc w:val="both"/>
        <w:textAlignment w:val="baseline"/>
      </w:pPr>
      <w:r>
        <w:t xml:space="preserve">A költségvetési szervek az államháztartáson kívülről átvett pénzeszközök, illetve a támogatásértékű bevételek eredeti, illetve módosított előirányzatát meghaladó többletbevételeket intézményi hatáskörben felhasználhatják. </w:t>
      </w:r>
    </w:p>
    <w:p w:rsidR="00D86D54" w:rsidRDefault="00D86D54" w:rsidP="00D86D54">
      <w:pPr>
        <w:ind w:left="567"/>
        <w:jc w:val="both"/>
      </w:pPr>
    </w:p>
    <w:p w:rsidR="00D86D54" w:rsidRDefault="00D86D54" w:rsidP="00D86D54">
      <w:pPr>
        <w:numPr>
          <w:ilvl w:val="0"/>
          <w:numId w:val="4"/>
        </w:numPr>
        <w:ind w:left="993" w:hanging="426"/>
        <w:jc w:val="both"/>
      </w:pPr>
      <w:r>
        <w:t>A költségvetési szervek által - az (1) - (2) bekezdés szerint - saját hatáskörben végrehajtott előirányzat-változtatása, valamint a személyi juttatások előirányzatának év közbeni módosítása során, az államháztartási törvény végrehatásáról szóló 368/2011. (XII.31.) Korm. rendelet 36.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kell eljárni. </w:t>
      </w:r>
    </w:p>
    <w:p w:rsidR="00D86D54" w:rsidRDefault="00D86D54" w:rsidP="00D86D54">
      <w:pPr>
        <w:pStyle w:val="Listaszerbekezds"/>
      </w:pP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  <w:r>
        <w:t xml:space="preserve"> 16.§ (1) A feladat elmaradásból származó - kiemelt - kiadási előirányzat megtakarítások felhasználására csak a Képviselő-testület engedélyével kerülhet sor. 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  <w:r>
        <w:t xml:space="preserve">           (2) A költségvetési szerveknek a jóváhagyott éves költségvetés alapján, a vonatkozó jogszabályokban, valamint az alapító okiratban meghatározott követelmények és feltételek érvényesítésével kell működniük és gazdálkodniuk a gazdaságosságra, a hatékonyságra és az eredményességre vonatkozó előírások, a gazdálkodási, </w:t>
      </w:r>
      <w:r>
        <w:lastRenderedPageBreak/>
        <w:t xml:space="preserve">számviteli szabályok maradéktalan betartása, és az ellenőrizhetőség szempontjainak biztosítása mellett. 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-1843"/>
          <w:tab w:val="left" w:pos="993"/>
        </w:tabs>
        <w:ind w:left="993" w:hanging="426"/>
        <w:jc w:val="both"/>
      </w:pPr>
      <w:r>
        <w:t>A Képviselő-testület felhatalmazza a költségvetési szerveket a költségvetésben előírt bevételek beszedésére és a jóváhagyott kiadások teljesítésére.</w:t>
      </w:r>
    </w:p>
    <w:p w:rsidR="00D86D54" w:rsidRDefault="00D86D54" w:rsidP="00D86D54">
      <w:pPr>
        <w:tabs>
          <w:tab w:val="left" w:pos="-1843"/>
          <w:tab w:val="left" w:pos="993"/>
        </w:tabs>
        <w:ind w:left="927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-1843"/>
          <w:tab w:val="left" w:pos="993"/>
        </w:tabs>
        <w:ind w:left="993" w:hanging="426"/>
        <w:jc w:val="both"/>
      </w:pPr>
      <w:r>
        <w:t>A költségvetési szerveknél a tervezett bevételek elmaradása nem vonja automatikusan maga után a költségvetési támogatás növekedését. Amennyiben a tervezett bevételek nem folynak be, a tervezett kiadási előirányzatok nem teljesíthetők.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ind w:left="851" w:hanging="851"/>
        <w:jc w:val="both"/>
      </w:pPr>
      <w:r>
        <w:t xml:space="preserve">       (5) A költségvetési szervek készpénzt vehetnek fel a házipénztárba. A házipénztárból felvett készpénzelőleggel a készpénzt felvevőnek el kell számolnia a költségvetési szerv belső szabályzatában meghatározottak szerint.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851"/>
        </w:tabs>
        <w:ind w:left="851" w:hanging="851"/>
        <w:jc w:val="both"/>
      </w:pPr>
      <w:r>
        <w:t xml:space="preserve">        (6) A következő készpénzes kifizetésekre lehet előleget felvenni, illetve kerülhet sor készpénz kifizetésére: a készlet- és kis értékű tárgyi eszköz beszerzésekre, a kiküldetési, reprezentációs kiadásokra, továbbá segélyek, egyes kisösszegű szolgáltatási kiadások készpénzben történő teljesítésére a költségvetési szerv pénzkezelési szabályzatában meghatározott házipénztári keret nagyságára figyelemmel. A költségvetési szerveknek gazdálkodásuk során a készpénzkímélő megoldásokat kell előnyben részesíteni.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709"/>
        </w:tabs>
        <w:ind w:left="709" w:hanging="709"/>
        <w:jc w:val="both"/>
      </w:pPr>
      <w:r>
        <w:t xml:space="preserve">17. §  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D86D54" w:rsidRDefault="00D86D54" w:rsidP="00D86D54">
      <w:pPr>
        <w:tabs>
          <w:tab w:val="left" w:pos="-1843"/>
          <w:tab w:val="left" w:pos="709"/>
        </w:tabs>
        <w:ind w:left="709" w:hanging="709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 18.§ (1)A tulajdon védelme érdekében az intézmény az eszközökről és az azok állományában bekövetkezett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 </w:t>
      </w:r>
    </w:p>
    <w:p w:rsidR="00D86D54" w:rsidRDefault="00D86D54" w:rsidP="00D86D54">
      <w:pPr>
        <w:ind w:left="993" w:hanging="993"/>
        <w:jc w:val="both"/>
      </w:pPr>
    </w:p>
    <w:p w:rsidR="00D86D54" w:rsidRDefault="00D86D54" w:rsidP="00D86D54">
      <w:pPr>
        <w:ind w:left="993" w:hanging="709"/>
        <w:jc w:val="both"/>
      </w:pPr>
      <w:r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D86D54" w:rsidRDefault="00D86D54" w:rsidP="00D86D54">
      <w:pPr>
        <w:ind w:left="709" w:hanging="425"/>
        <w:jc w:val="both"/>
      </w:pPr>
    </w:p>
    <w:p w:rsidR="00D86D54" w:rsidRDefault="00D86D54" w:rsidP="00D86D54">
      <w:pPr>
        <w:ind w:left="709" w:hanging="851"/>
        <w:jc w:val="both"/>
      </w:pPr>
      <w:r>
        <w:t xml:space="preserve">    19.§ A tárgyévben képződött maradvány felhasználásáról a Képviselő-testület az adott évről készült zárszámadási rendeletében rendelkezik.</w:t>
      </w:r>
    </w:p>
    <w:p w:rsidR="00D86D54" w:rsidRDefault="00D86D54" w:rsidP="00D86D54">
      <w:pPr>
        <w:ind w:left="709" w:hanging="425"/>
        <w:jc w:val="both"/>
      </w:pPr>
    </w:p>
    <w:p w:rsidR="00D86D54" w:rsidRDefault="00D86D54" w:rsidP="00D86D54">
      <w:pPr>
        <w:ind w:left="851" w:hanging="851"/>
        <w:jc w:val="both"/>
      </w:pPr>
      <w:r>
        <w:t xml:space="preserve">  20.§ Az önkormányzat Képviselő-testülete - amennyiben a helyi önkormányzatok adósságrendezési eljárásáról szóló 1996. évi XXV. törvény 4. §</w:t>
      </w:r>
      <w:proofErr w:type="spellStart"/>
      <w:r>
        <w:t>-a</w:t>
      </w:r>
      <w:proofErr w:type="spellEnd"/>
      <w:r>
        <w:t xml:space="preserve"> szerinti adósságrendezési eljárást az önkormányzat vagy hitelezői nem kezdeményezték - önkormányzati biztost rendel ki a felügyelete alá tartozó költségvetési szervhez, ha az önkormányzat által fenntartott költségvetési szerv 30 napon túli tartozásállományának mértéke eléri az éves eredeti előirányzatának 10 %-át, vagy a 100 millió forintot</w:t>
      </w:r>
      <w:r>
        <w:rPr>
          <w:i/>
        </w:rPr>
        <w:t xml:space="preserve"> </w:t>
      </w:r>
      <w:r>
        <w:t>és e tartozását egy hónap alatt nem képes 30 nap</w:t>
      </w:r>
      <w:r>
        <w:rPr>
          <w:i/>
        </w:rPr>
        <w:t xml:space="preserve"> </w:t>
      </w:r>
      <w:r>
        <w:t xml:space="preserve">alá szorítani. </w:t>
      </w:r>
    </w:p>
    <w:p w:rsidR="00D86D54" w:rsidRDefault="00D86D54" w:rsidP="00D86D54">
      <w:pPr>
        <w:ind w:left="567" w:hanging="283"/>
        <w:jc w:val="both"/>
      </w:pPr>
    </w:p>
    <w:p w:rsidR="00D86D54" w:rsidRDefault="00D86D54" w:rsidP="00D86D54">
      <w:pPr>
        <w:ind w:left="851" w:hanging="709"/>
        <w:jc w:val="both"/>
      </w:pPr>
      <w:r>
        <w:lastRenderedPageBreak/>
        <w:t>21.§ (1)Az önkormányzat felügyelete alá tartozó költségvetési szervek a tartozásállományukról e rendelet 39. számú melléklete szerinti formában és tartalommal kötelesek adatszolgáltatást teljesíteni.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5"/>
        </w:numPr>
        <w:overflowPunct w:val="0"/>
        <w:autoSpaceDE w:val="0"/>
        <w:ind w:hanging="76"/>
        <w:jc w:val="both"/>
        <w:textAlignment w:val="baseline"/>
        <w:rPr>
          <w:i/>
        </w:rPr>
      </w:pPr>
      <w:r>
        <w:t xml:space="preserve">Az (1) bekezdés szerinti adatszolgáltatást a költségvetési szervnek az általa elismert tartozásállomány tekintetében - nemleges adat esetén is - havonta, a tárgyhó utolsó naptári napjának megfelelően a tárgyhót követő hó 5-ig kell az önkormányzat jegyzője részére teljesíteni. </w:t>
      </w:r>
      <w:r>
        <w:rPr>
          <w:i/>
        </w:rPr>
        <w:t xml:space="preserve"> </w:t>
      </w:r>
    </w:p>
    <w:p w:rsidR="00D86D54" w:rsidRDefault="00D86D54" w:rsidP="00D86D54">
      <w:pPr>
        <w:ind w:left="480"/>
        <w:jc w:val="both"/>
      </w:pPr>
    </w:p>
    <w:p w:rsidR="00D86D54" w:rsidRDefault="00D86D54" w:rsidP="00D86D54">
      <w:pPr>
        <w:tabs>
          <w:tab w:val="left" w:pos="-1843"/>
        </w:tabs>
        <w:ind w:left="851" w:hanging="851"/>
        <w:jc w:val="both"/>
      </w:pPr>
      <w:r>
        <w:t>22.§ (1)</w:t>
      </w:r>
      <w:r>
        <w:rPr>
          <w:iCs/>
        </w:rPr>
        <w:t xml:space="preserve"> A jóváhagyott kiemelt előirányzatok felhasználására, a rendszeresen jelentkező személyi jellegű kiadásokat, azok járulékait, és a közüzemi díjakat kivéve – az önkormányzat likviditásának biztosítása érdekében -, csak az irányító szerv vezetőjével történt előzetes egyeztetést követően kerülhet sor.</w:t>
      </w:r>
    </w:p>
    <w:p w:rsidR="00D86D54" w:rsidRDefault="00D86D54" w:rsidP="00D86D54">
      <w:pPr>
        <w:tabs>
          <w:tab w:val="left" w:pos="-1843"/>
        </w:tabs>
        <w:ind w:left="851" w:hanging="851"/>
        <w:jc w:val="both"/>
      </w:pPr>
    </w:p>
    <w:p w:rsidR="00D86D54" w:rsidRDefault="00D86D54" w:rsidP="00D86D54">
      <w:pPr>
        <w:pStyle w:val="Szvegtrzsbehzssal"/>
        <w:spacing w:after="0"/>
        <w:ind w:left="851" w:hanging="851"/>
        <w:jc w:val="both"/>
        <w:rPr>
          <w:iCs/>
        </w:rPr>
      </w:pPr>
      <w:r>
        <w:rPr>
          <w:iCs/>
        </w:rPr>
        <w:t xml:space="preserve">         (2) Az intézmények önkormányzati támogatásának rendelkezésre bocsátása az intézményi saját bevételek képződésére, valamint a pénzellátási (finanszírozási) tervben foglaltakra is figyelemmel, a tényleges szükséglethez igazodik.</w:t>
      </w:r>
    </w:p>
    <w:p w:rsidR="00D86D54" w:rsidRDefault="00D86D54" w:rsidP="00D86D54">
      <w:pPr>
        <w:pStyle w:val="Szvegtrzs22"/>
      </w:pPr>
    </w:p>
    <w:p w:rsidR="00D86D54" w:rsidRDefault="00D86D54" w:rsidP="00D86D54">
      <w:pPr>
        <w:pStyle w:val="Szvegtrzs22"/>
        <w:ind w:hanging="567"/>
      </w:pPr>
      <w:r>
        <w:t xml:space="preserve">23.§ A költségvetési szervek vezetői felelősek a feladatfinanszírozás alapját képező, finanszírozást megalapozó mutatószámok (létszám, stb.) valóságtartalmáért, a támogatások elszámolásához szükséges dokumentumok helyességéért. Kötelesek a támogatás igénylésének és elszámolásának alapját képező nyilvántartásokat naprakészen vezetni. </w:t>
      </w:r>
    </w:p>
    <w:p w:rsidR="00D86D54" w:rsidRDefault="00D86D54" w:rsidP="00D86D54">
      <w:pPr>
        <w:tabs>
          <w:tab w:val="left" w:pos="-1843"/>
        </w:tabs>
        <w:ind w:left="567"/>
        <w:jc w:val="both"/>
        <w:rPr>
          <w:b/>
          <w:i/>
        </w:rPr>
      </w:pPr>
    </w:p>
    <w:p w:rsidR="00D86D54" w:rsidRDefault="00D86D54" w:rsidP="00D86D54">
      <w:pPr>
        <w:jc w:val="center"/>
        <w:rPr>
          <w:b/>
        </w:rPr>
      </w:pPr>
      <w:r>
        <w:rPr>
          <w:b/>
        </w:rPr>
        <w:t>Egyéb rendelkezések</w:t>
      </w:r>
    </w:p>
    <w:p w:rsidR="00D86D54" w:rsidRDefault="00D86D54" w:rsidP="00D86D54">
      <w:pPr>
        <w:tabs>
          <w:tab w:val="left" w:pos="-1843"/>
        </w:tabs>
        <w:ind w:left="567" w:hanging="567"/>
        <w:jc w:val="both"/>
      </w:pPr>
    </w:p>
    <w:p w:rsidR="00D86D54" w:rsidRDefault="00D86D54" w:rsidP="00D86D54">
      <w:pPr>
        <w:tabs>
          <w:tab w:val="left" w:pos="-1843"/>
        </w:tabs>
        <w:ind w:left="851" w:hanging="851"/>
        <w:jc w:val="both"/>
      </w:pPr>
      <w:r>
        <w:t xml:space="preserve">24.§ (1) A Képviselő-testület a civil önszerveződő közösségek, sportegyesületek, együttesek, klubok, alapítványok, egyházi közösségek stb. részére a költségvetésben meghatározott keretösszeg mértékéig pénzbeli támogatást nyújt. A támogatás folyósításának feltétele, hogy a szervezet az önkormányzat által meghatározott pályázati kiírásban rögzítetteket vagy a szervezettel megkötött támogatási szerződésben foglaltakat vállalja. </w:t>
      </w:r>
    </w:p>
    <w:p w:rsidR="00D86D54" w:rsidRDefault="00D86D54" w:rsidP="00D86D54">
      <w:pPr>
        <w:tabs>
          <w:tab w:val="left" w:pos="-1843"/>
        </w:tabs>
        <w:ind w:left="1276" w:hanging="992"/>
        <w:jc w:val="both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>(2) A támogatás folyósítására azt követően kerülhet sor, hogy a támogatott szervezettel az Önkormányzat nevében a polgármester „Megállapodás”</w:t>
      </w:r>
      <w:proofErr w:type="spellStart"/>
      <w:r>
        <w:t>-t</w:t>
      </w:r>
      <w:proofErr w:type="spellEnd"/>
      <w:r>
        <w:t xml:space="preserve"> köt a támogatási összeg rendeltetésszerű felhasználására, valamint annak elszámolására vonatkozóan.</w:t>
      </w:r>
    </w:p>
    <w:p w:rsidR="00D86D54" w:rsidRDefault="00D86D54" w:rsidP="00D86D54">
      <w:pPr>
        <w:tabs>
          <w:tab w:val="left" w:pos="-1843"/>
        </w:tabs>
        <w:ind w:left="1276" w:hanging="425"/>
        <w:jc w:val="both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 xml:space="preserve">(3)A Megállapodás megkötésének feltétele, hogy a támogatott szervezet, írásban nyilatkozik arról, hogy köztartozás nem terheli, illetve gazdálkodó és egyéb szervezetek felé fennálló tartozása nincs, valamint, hogy megfelel a közpénzekből nyújtott támogatások átláthatóságáról szóló 2007. évi CLXXXI. törvényben foglalt feltételeknek. </w:t>
      </w:r>
    </w:p>
    <w:p w:rsidR="00D86D54" w:rsidRDefault="00D86D54" w:rsidP="00D86D54">
      <w:pPr>
        <w:tabs>
          <w:tab w:val="left" w:pos="-1843"/>
        </w:tabs>
        <w:ind w:left="1276" w:hanging="425"/>
        <w:jc w:val="center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>(4) A támogatott jogosult részben, vagy egészben lemondani a támogatásról, amennyiben az általa vállat feladat objektív okból nem vagy csak részben valósítható meg.</w:t>
      </w:r>
    </w:p>
    <w:p w:rsidR="00D86D54" w:rsidRDefault="00D86D54" w:rsidP="00D86D54">
      <w:pPr>
        <w:pStyle w:val="Listaszerbekezds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 xml:space="preserve">(5) Amennyiben a pénzeszközátvevő az átvett támogatást vagy annak egy részét jogtalanul vette igénybe, azt nem a pályázatban megjelölt programra, feladatra használta fel, vagy a támogatások igényléséhez valótlan adatokat szolgáltatott, a </w:t>
      </w:r>
      <w:r>
        <w:lastRenderedPageBreak/>
        <w:t>támogatást az önkormányzat fizetési számlájára köteles egy-összegben visszafizetni.</w:t>
      </w:r>
    </w:p>
    <w:p w:rsidR="00D86D54" w:rsidRDefault="00D86D54" w:rsidP="00D86D54">
      <w:pPr>
        <w:tabs>
          <w:tab w:val="left" w:pos="-1843"/>
        </w:tabs>
        <w:ind w:left="993" w:hanging="426"/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(6)  A kapott támogatással a civil szervezet a pályázatában megfogalmazott cél, illetve a támogató nyilatkozatban megfogalmazott tevékenység megvalósulását követően 30 napon belül, köteles elszámolni. A havi rendszerességgel, vagy a működtetéshez folyósított támogatások esetében a támogatás felhasználását követően, de legkésőbb a következő költségvetési év január 31-éig köteles elszámolni.</w:t>
      </w:r>
    </w:p>
    <w:p w:rsidR="00D86D54" w:rsidRDefault="00D86D54" w:rsidP="00D86D54">
      <w:pPr>
        <w:tabs>
          <w:tab w:val="left" w:pos="-1843"/>
        </w:tabs>
        <w:ind w:left="1276" w:hanging="425"/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pStyle w:val="Szvegtrzsbehzssal23"/>
        <w:ind w:left="993" w:hanging="426"/>
      </w:pPr>
      <w:r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D86D54" w:rsidRDefault="00D86D54" w:rsidP="00D86D54">
      <w:pPr>
        <w:tabs>
          <w:tab w:val="left" w:pos="-1843"/>
          <w:tab w:val="left" w:pos="284"/>
        </w:tabs>
        <w:ind w:left="1134" w:hanging="1134"/>
        <w:jc w:val="both"/>
      </w:pPr>
      <w:r>
        <w:t xml:space="preserve">25.§ (1) Az államháztartásról szóló 2011. évi CXCV. törvény (a továbbiakban: Áht.) előírásai alapján 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proofErr w:type="gramStart"/>
      <w:r>
        <w:t>a</w:t>
      </w:r>
      <w:proofErr w:type="gramEnd"/>
      <w:r>
        <w:t>) az önkormányzat 201</w:t>
      </w:r>
      <w:r w:rsidR="00380E85">
        <w:t>8</w:t>
      </w:r>
      <w:r>
        <w:t>. év január 1-ji hitelállományát - lejárat szerinti bontásban -  e rendelet 34. melléklete,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>b), az önkormányzat által nyújtott hitelek (kölcsönök) 201</w:t>
      </w:r>
      <w:r w:rsidR="00380E85">
        <w:t>8</w:t>
      </w:r>
      <w:r>
        <w:t xml:space="preserve">. év január 1-ji állományát - lejárat szerinti bontásban - e rendelet 35. melléklete,  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>c) az önkormányzat - tervezett - pénzeszköz változását e rendelet 36. melléklete tartalmazza tájékoztató jelleggel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overflowPunct w:val="0"/>
        <w:autoSpaceDE w:val="0"/>
        <w:ind w:left="1134" w:hanging="283"/>
        <w:jc w:val="both"/>
        <w:textAlignment w:val="baseline"/>
      </w:pPr>
      <w:r>
        <w:t>(2) Az (1) bekezdésben felsorolt és tájékoztató jelleggel a képviselő-testület részére bemutatott mellékleteket ugyanilyen szerkezetben - az adott évre vonatkozó tartalommal - kell benyújtani a következő évek költségvetésének előterjesztésekor is.</w:t>
      </w:r>
    </w:p>
    <w:p w:rsidR="00D86D54" w:rsidRDefault="00D86D54" w:rsidP="00D86D54">
      <w:pPr>
        <w:ind w:left="567"/>
        <w:jc w:val="both"/>
        <w:rPr>
          <w:color w:val="548DD4"/>
        </w:rPr>
      </w:pPr>
    </w:p>
    <w:p w:rsidR="00D86D54" w:rsidRDefault="00D86D54" w:rsidP="00D86D54">
      <w:pPr>
        <w:overflowPunct w:val="0"/>
        <w:autoSpaceDE w:val="0"/>
        <w:ind w:left="1134" w:hanging="283"/>
        <w:jc w:val="both"/>
        <w:textAlignment w:val="baseline"/>
      </w:pPr>
      <w:r>
        <w:t xml:space="preserve">(3) Az Áht. előírásai alapján az évenkénti zárszámadási rendelettervezet előterjesztésekor 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proofErr w:type="gramStart"/>
      <w:r>
        <w:t>a</w:t>
      </w:r>
      <w:proofErr w:type="gramEnd"/>
      <w:r>
        <w:t>) az önkormányzat adósságának állományát e rendelet 34. melléklete,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b) az önkormányzat által nyújtott hitelek (kölcsönök) állományát e rendelet 35</w:t>
      </w:r>
      <w:proofErr w:type="gramStart"/>
      <w:r>
        <w:t>.melléklete</w:t>
      </w:r>
      <w:proofErr w:type="gramEnd"/>
      <w:r>
        <w:t>,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c) az önkormányzat pénzeszközeinek változását e rendelet 36. melléklete szerinti táblázatokban, míg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d) az Áht. 91. §</w:t>
      </w:r>
      <w:proofErr w:type="spellStart"/>
      <w:r>
        <w:t>-ának</w:t>
      </w:r>
      <w:proofErr w:type="spellEnd"/>
      <w:r>
        <w:t xml:space="preserve"> (2) bekezdés c) pontjában meghatározott, az Önkormányzat képviselő-testülete részére a zárszámadáshoz csatolt vagyonkimutatást az államháztartás számviteléről szóló 4/2013. (I.11) Kormányrendelet 30. § szerint meghatározott szerkezetű és tartalmú mérlegséma szerint kell bemutatni - tájékoztató jelleggel -, azt tovább nem kell részletezni;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  <w:rPr>
          <w:b/>
        </w:rPr>
      </w:pPr>
      <w:proofErr w:type="gramStart"/>
      <w:r>
        <w:lastRenderedPageBreak/>
        <w:t>e</w:t>
      </w:r>
      <w:proofErr w:type="gramEnd"/>
      <w:r>
        <w:t>) a költségvetési szervek elemi beszámolóikat az államháztartás számviteléről szóló 4/2013. (I.11) Kormányrendelet 32. §</w:t>
      </w:r>
      <w:proofErr w:type="spellStart"/>
      <w:r>
        <w:t>-ában</w:t>
      </w:r>
      <w:proofErr w:type="spellEnd"/>
      <w:r>
        <w:t xml:space="preserve"> meghatározott időpontig jóváhagyásra az irányító szerv vezetőjének megküldik.  </w:t>
      </w:r>
    </w:p>
    <w:p w:rsidR="00D86D54" w:rsidRDefault="00D86D54" w:rsidP="00D86D54">
      <w:pPr>
        <w:ind w:left="567" w:hanging="567"/>
        <w:jc w:val="center"/>
        <w:rPr>
          <w:b/>
        </w:rPr>
      </w:pPr>
    </w:p>
    <w:p w:rsidR="00D86D54" w:rsidRDefault="00D86D54" w:rsidP="00D86D54">
      <w:pPr>
        <w:ind w:left="567" w:hanging="567"/>
        <w:jc w:val="center"/>
        <w:rPr>
          <w:b/>
        </w:rPr>
      </w:pPr>
      <w:r>
        <w:rPr>
          <w:b/>
        </w:rPr>
        <w:t>Záró rendelkezés</w:t>
      </w:r>
    </w:p>
    <w:p w:rsidR="00D86D54" w:rsidRDefault="00D86D54" w:rsidP="00D86D54">
      <w:pPr>
        <w:ind w:left="567" w:hanging="567"/>
        <w:jc w:val="both"/>
        <w:rPr>
          <w:color w:val="548DD4"/>
        </w:rPr>
      </w:pPr>
    </w:p>
    <w:p w:rsidR="00D86D54" w:rsidRDefault="00D86D54" w:rsidP="00D86D54">
      <w:pPr>
        <w:ind w:left="567" w:hanging="567"/>
        <w:jc w:val="both"/>
        <w:rPr>
          <w:color w:val="548DD4"/>
        </w:rPr>
      </w:pPr>
    </w:p>
    <w:p w:rsidR="00D86D54" w:rsidRDefault="00D86D54" w:rsidP="00D86D54">
      <w:pPr>
        <w:ind w:left="567" w:hanging="567"/>
        <w:jc w:val="both"/>
      </w:pPr>
      <w:r>
        <w:t>26.§ Ez a rendelet a kihirdetését követő első napon lép hatályba, de rendelkezéseit 2018. január 1-től kell alkalmazni.</w:t>
      </w:r>
    </w:p>
    <w:p w:rsidR="00D86D54" w:rsidRDefault="00D86D54" w:rsidP="00D86D54">
      <w:pPr>
        <w:ind w:left="426" w:hanging="426"/>
        <w:jc w:val="both"/>
      </w:pPr>
      <w:r>
        <w:t xml:space="preserve"> 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ind w:left="426" w:hanging="426"/>
        <w:jc w:val="both"/>
        <w:rPr>
          <w:b/>
        </w:rPr>
      </w:pPr>
      <w:r>
        <w:rPr>
          <w:b/>
        </w:rPr>
        <w:t xml:space="preserve">    Dr. Jakab Orsolya                                                              Bogdán József </w:t>
      </w: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                   </w:t>
      </w:r>
      <w:proofErr w:type="gramStart"/>
      <w:r>
        <w:rPr>
          <w:b/>
        </w:rPr>
        <w:t>jegyző</w:t>
      </w:r>
      <w:proofErr w:type="gramEnd"/>
      <w:r>
        <w:rPr>
          <w:b/>
        </w:rPr>
        <w:t xml:space="preserve">                                                                               polgármester</w:t>
      </w:r>
    </w:p>
    <w:p w:rsidR="00D86D54" w:rsidRDefault="00D86D54" w:rsidP="00D86D54">
      <w:pPr>
        <w:ind w:left="426" w:hanging="426"/>
        <w:jc w:val="both"/>
        <w:rPr>
          <w:b/>
        </w:rPr>
      </w:pPr>
    </w:p>
    <w:sectPr w:rsidR="00D86D54" w:rsidSect="0075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283"/>
        </w:tabs>
        <w:ind w:left="644" w:hanging="360"/>
      </w:pPr>
    </w:lvl>
  </w:abstractNum>
  <w:abstractNum w:abstractNumId="1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2">
    <w:nsid w:val="15657D17"/>
    <w:multiLevelType w:val="hybridMultilevel"/>
    <w:tmpl w:val="B440ADCC"/>
    <w:lvl w:ilvl="0" w:tplc="EA2403D0">
      <w:start w:val="2"/>
      <w:numFmt w:val="decimal"/>
      <w:lvlText w:val="(%1)"/>
      <w:lvlJc w:val="left"/>
      <w:pPr>
        <w:ind w:left="927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</w:num>
  <w:num w:numId="4">
    <w:abstractNumId w:val="1"/>
    <w:lvlOverride w:ilvl="0">
      <w:startOverride w:val="2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D54"/>
    <w:rsid w:val="00380E85"/>
    <w:rsid w:val="003B5C63"/>
    <w:rsid w:val="004B3169"/>
    <w:rsid w:val="00752B1F"/>
    <w:rsid w:val="00A16DBA"/>
    <w:rsid w:val="00D8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D5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D86D54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6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D86D54"/>
    <w:pPr>
      <w:ind w:left="708"/>
    </w:pPr>
  </w:style>
  <w:style w:type="paragraph" w:customStyle="1" w:styleId="Szvegtrzsbehzssal21">
    <w:name w:val="Szövegtörzs behúzással 21"/>
    <w:basedOn w:val="Norml"/>
    <w:rsid w:val="00D86D54"/>
    <w:pPr>
      <w:spacing w:after="120" w:line="480" w:lineRule="auto"/>
      <w:ind w:left="283"/>
    </w:pPr>
  </w:style>
  <w:style w:type="paragraph" w:customStyle="1" w:styleId="Szvegtrzs22">
    <w:name w:val="Szövegtörzs 22"/>
    <w:basedOn w:val="Norml"/>
    <w:rsid w:val="00D86D54"/>
    <w:pPr>
      <w:tabs>
        <w:tab w:val="left" w:pos="-1843"/>
      </w:tabs>
      <w:overflowPunct w:val="0"/>
      <w:autoSpaceDE w:val="0"/>
      <w:ind w:left="567" w:hanging="283"/>
      <w:jc w:val="both"/>
    </w:pPr>
    <w:rPr>
      <w:szCs w:val="20"/>
    </w:rPr>
  </w:style>
  <w:style w:type="paragraph" w:customStyle="1" w:styleId="Szvegtrzsbehzssal23">
    <w:name w:val="Szövegtörzs behúzással 23"/>
    <w:basedOn w:val="Norml"/>
    <w:rsid w:val="00D86D54"/>
    <w:pPr>
      <w:tabs>
        <w:tab w:val="left" w:pos="-1843"/>
      </w:tabs>
      <w:overflowPunct w:val="0"/>
      <w:autoSpaceDE w:val="0"/>
      <w:ind w:left="567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2126</Words>
  <Characters>14673</Characters>
  <Application>Microsoft Office Word</Application>
  <DocSecurity>0</DocSecurity>
  <Lines>122</Lines>
  <Paragraphs>33</Paragraphs>
  <ScaleCrop>false</ScaleCrop>
  <Company/>
  <LinksUpToDate>false</LinksUpToDate>
  <CharactersWithSpaces>16766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Iroda-370</cp:lastModifiedBy>
  <cp:revision>3</cp:revision>
  <dcterms:created xsi:type="dcterms:W3CDTF">2018-02-16T09:56:00Z</dcterms:created>
  <dcterms:modified xsi:type="dcterms:W3CDTF">2018-02-16T10:19:00Z</dcterms:modified>
</cp:coreProperties>
</file>