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CC" w:rsidRDefault="00876ACC" w:rsidP="00876A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Default="00876ACC" w:rsidP="0097635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Default="005B7AD1" w:rsidP="00876A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bookmarkStart w:id="0" w:name="_GoBack"/>
      <w:bookmarkEnd w:id="0"/>
      <w:r w:rsidR="00976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melléklet a 2/2018 (II.21.) önkormányzati rendelethez</w:t>
      </w:r>
    </w:p>
    <w:p w:rsidR="00876ACC" w:rsidRDefault="00876ACC" w:rsidP="00876A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Pr="00876ACC" w:rsidRDefault="00876ACC" w:rsidP="00876A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EGYÜTTMŰKÖDÉSI MEGÁLLAPODÁS</w:t>
      </w:r>
    </w:p>
    <w:p w:rsidR="00362627" w:rsidRPr="00362627" w:rsidRDefault="00362627" w:rsidP="00362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amely</w:t>
      </w:r>
      <w:proofErr w:type="gramEnd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létrejött egyrészről 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Hernádkak község Önkormányzata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(képviseli Hajdu János polgármester, székhelye: 3563 Hernádkak Rákóczi u. 42., bankszámlaszám:12046102-00118847-0010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000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adószám: 15735942-2-05</w:t>
      </w:r>
      <w:r w:rsidRPr="003626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,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törzskönyvi azonosítószám: 735946) továbbiakban Önkormányzat,</w:t>
      </w: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másrészről</w:t>
      </w:r>
      <w:proofErr w:type="gramEnd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Hernádkaki Roma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Nemzetiségi Önkormányzat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(képviseli </w:t>
      </w:r>
      <w:r w:rsidRPr="001A0FEF">
        <w:rPr>
          <w:rFonts w:ascii="Times New Roman" w:eastAsia="Times New Roman" w:hAnsi="Times New Roman" w:cs="Times New Roman"/>
          <w:sz w:val="24"/>
          <w:szCs w:val="24"/>
          <w:lang w:eastAsia="ar-SA"/>
        </w:rPr>
        <w:t>:Erdei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-Nagy Attiláné elnök, székhelye: 3563 Hernádkak Rákóczi u. 42., adószám: 15827101-1-05, törzskönyvi azonosító szám: 828109) továbbiakban Nemzetiségi Önkormányzat között, az alulírott helyen és időben, a következő fel</w:t>
      </w:r>
      <w:r w:rsidRPr="001A0FEF">
        <w:rPr>
          <w:rFonts w:ascii="Times New Roman" w:eastAsia="Times New Roman" w:hAnsi="Times New Roman" w:cs="Times New Roman"/>
          <w:sz w:val="24"/>
          <w:szCs w:val="24"/>
          <w:lang w:eastAsia="ar-SA"/>
        </w:rPr>
        <w:t>tét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1A0FEF">
        <w:rPr>
          <w:rFonts w:ascii="Times New Roman" w:eastAsia="Times New Roman" w:hAnsi="Times New Roman" w:cs="Times New Roman"/>
          <w:sz w:val="24"/>
          <w:szCs w:val="24"/>
          <w:lang w:eastAsia="ar-SA"/>
        </w:rPr>
        <w:t>le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kkel</w:t>
      </w:r>
      <w:r w:rsidRPr="001A0F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nemzetiségi jogokról szóló 2011. évi CLXXIX. törvény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80. §-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alapján </w:t>
      </w:r>
      <w:r w:rsidRPr="001A0FEF">
        <w:rPr>
          <w:rFonts w:ascii="Times New Roman" w:eastAsia="Times New Roman" w:hAnsi="Times New Roman" w:cs="Times New Roman"/>
          <w:sz w:val="24"/>
          <w:szCs w:val="24"/>
          <w:lang w:eastAsia="ar-SA"/>
        </w:rPr>
        <w:t>Hernádkak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község Önkormányzata és a Hernádkaki Roma Nemzetiségi Önkormányzat együttműködési szabályait az alábbi megállapodásban rögzítik.</w:t>
      </w: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I.</w:t>
      </w: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Roma Nemzetiségi Önkormányzat működése,</w:t>
      </w:r>
    </w:p>
    <w:p w:rsidR="00362627" w:rsidRPr="00362627" w:rsidRDefault="00362627" w:rsidP="00362627">
      <w:pPr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</w:t>
      </w:r>
      <w:proofErr w:type="gramEnd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személyi- tárgyi feltételek biztosítása</w:t>
      </w:r>
    </w:p>
    <w:p w:rsidR="00362627" w:rsidRPr="00362627" w:rsidRDefault="00362627" w:rsidP="00362627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62627" w:rsidRPr="00362627" w:rsidRDefault="00362627" w:rsidP="003626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Hernádkak község Önkormányzatának Képviselő- testülete a rendelkezésre álló anyagi eszközök arányában biztosítja – az éves önkormányzati költségvetési rendelet keretein belül – a Hernádkaki Roma Nemzetiségi Önkormányzat részére a működéséhez szükséges feltételeket, az alábbiak szerint:</w:t>
      </w:r>
    </w:p>
    <w:p w:rsidR="00362627" w:rsidRPr="00362627" w:rsidRDefault="00362627" w:rsidP="00362627">
      <w:pPr>
        <w:tabs>
          <w:tab w:val="left" w:pos="-1134"/>
          <w:tab w:val="left" w:pos="426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(1)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Az Önkormányzat ingyenesen biztosítja a Nemzetiségi Önkormányzat az üléseinek lebonyolításához szükséges helyiséget illetve közmeghallgatásaihoz, fórumaihoz Hernádkak, Petőfi u. 45. szám alatti könyvtár helyiséget.</w:t>
      </w:r>
    </w:p>
    <w:p w:rsidR="00362627" w:rsidRPr="00362627" w:rsidRDefault="00362627" w:rsidP="00362627">
      <w:pPr>
        <w:tabs>
          <w:tab w:val="left" w:pos="-1134"/>
          <w:tab w:val="left" w:pos="426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(2)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képviselő- testület a Gesztelyi Közös Önkormányzat Hi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vatal Hernádkaki Kirendeltsége 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(továbbiakban: hivatal) keresztül biztosítja a Nemzetiségi Önkormányzat kérésének megfelelően a postai, kézbesítési, gépelési, sokszorosítási feladatok ellátását és az ezzel járó költségek viselését, a Nemzetiségi Önkormányzat működéséhez szükséges tárgyi és személyi feltételeket.</w:t>
      </w:r>
    </w:p>
    <w:p w:rsidR="00362627" w:rsidRPr="00362627" w:rsidRDefault="00362627" w:rsidP="00362627">
      <w:pPr>
        <w:tabs>
          <w:tab w:val="left" w:pos="-1134"/>
          <w:tab w:val="left" w:pos="426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 A Nemzetiségi Önkormányzat képviselő- testületi ülésein, közmeghallgatásán a jegyző vagy az aljegyző és a Hivatal témafelelősei részt vesznek.</w:t>
      </w:r>
    </w:p>
    <w:p w:rsidR="00362627" w:rsidRPr="00362627" w:rsidRDefault="00362627" w:rsidP="00362627">
      <w:pPr>
        <w:tabs>
          <w:tab w:val="left" w:pos="-1134"/>
          <w:tab w:val="left" w:pos="426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(3)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Nemzetiségi Önkormányzat működésével, gazdálkodásával kapcsolatos nyilvántartási, iratkezelési feladatokat a hivatal látja el.</w:t>
      </w:r>
    </w:p>
    <w:p w:rsidR="00362627" w:rsidRPr="00362627" w:rsidRDefault="00362627" w:rsidP="00362627">
      <w:pPr>
        <w:tabs>
          <w:tab w:val="left" w:pos="-1134"/>
          <w:tab w:val="left" w:pos="426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(4)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Nemzetiségi Önkormányzat üléseinek előkészítését (meghívók, előterjesztések kiküldése, jegyzőkönyvek előkészítése, sokszorosítás, jegyzőkönyv közzététele stb.) a Hivatal biztosítja.</w:t>
      </w:r>
    </w:p>
    <w:p w:rsidR="00362627" w:rsidRPr="00362627" w:rsidRDefault="00362627" w:rsidP="00362627">
      <w:pPr>
        <w:tabs>
          <w:tab w:val="left" w:pos="-1134"/>
          <w:tab w:val="left" w:pos="426"/>
          <w:tab w:val="left" w:pos="709"/>
        </w:tabs>
        <w:suppressAutoHyphens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Pr="00362627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  <w:tab w:val="left" w:pos="1418"/>
          <w:tab w:val="left" w:pos="1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II.</w:t>
      </w: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A költségvetési határozat, zárszámadás elkészítésének és elfogadásának a rendje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A Nemzetiségi Önkormányzat költségvetési határozatának elkészítése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költségvetési törvény kihirdetését követően, a költségvetésre vonatkozó részletes információk ismeretében a hivatal pénzügyi főmunkatársa folytatja az egyeztetést a Nemzetiségi Önkormányzat elnökével, ezen egyeztetés keretében a Nemzetiségi Önkormányzat elnöke rendelkezésére bocsátja a Nemzetiségi Önkormányzat évével kapcsolatos pénzügyi adatokat, egyéb információkat.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pénzügyi főmunkatárs készíti elő a Nemzetiségi Önkormányzat költségvetési előterjesztését és határozatának tervezetét. A Nemzetiségi Önkormányzat képviselő- testülete megtárgyalja, az elnök előterjesztésében önálló határozatában elfogadja a Nemzetiségi Önkormányzat költségvetését. 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költségvetési határozat beterjesztésének határideje tárgyév február 15</w:t>
      </w:r>
      <w:proofErr w:type="gramStart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elfogadásának határideje tárgyév március 15.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A költségvetési előirányzatok módosításának rendje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Ha a Nemzetiségi Önkormányzat Képviselő- testülete az eredeti előirányzatán felül többletbevételt ér el, vagy bevétel kiesése van, illetve kiadási előirányzatain belül átcsoportosítást hajt végre, módosítja a költségvetésről szóló határozatát. A módosítást a hivatal pénzügyi főmunkatárs az elnök kérésére készíti elő.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költségvetési előirányzatai a Nemzetiségi Önkormányzat képviselő- testületének határozata alapján módosíthatók.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Információszolgáltatás a költségvetésről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költségvetési határozatát úgy fogadja el és erről információt a hivatal pénzügyi főmunkatárs úgy szolgáltat, hogy az a költségvetésével kapcsolatos tájékoztatási kötelezettségének határidőben eleget tudjon tenni.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A beszámolási kötelezettség teljesítésének rendje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Önkormányzatnak a naptári év első feléről június 30-i fordulónappal féléves költségvetési beszámolót, a naptári évről december 31-i fordulónappal éves költségvetési beszámolót kell készítenie a központilag előírt formanyomtatványon és tartalommal. Az elnök a Nemzetiségi Önkormányzat gazdálkodásának 1. féléve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 helyzetéről szeptember 15-ig 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tájékoztatja a Képviselő- testületet. A tájékoztató tartalmazza a Nemzetiségi Önkormányzat költségvetési előirányzatait időarányos alakulását, a tartalék felhasználását, a hiány (többlet) összegének alakulását, valamint az Önkormányzat költségvetése teljesülésének alakulását.</w:t>
      </w:r>
    </w:p>
    <w:p w:rsidR="00362627" w:rsidRPr="00362627" w:rsidRDefault="00362627" w:rsidP="0036262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Nemzetiségi Önkormányzat zárszámadásáról szóló előterjesztést és a határozati javaslatot a hivatal pénzügyi főmunkatárs készíti elő és az elnök terjeszti be elfogadásra a Képviselő- testület elé. A zárszámadási határozat elfogadásának határideje tárgyév április 30. </w:t>
      </w:r>
    </w:p>
    <w:p w:rsidR="00362627" w:rsidRPr="00362627" w:rsidRDefault="00362627" w:rsidP="003626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Pr="00362627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III.</w:t>
      </w: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A költségvetési gazdálkodás bonyolításának rendje,</w:t>
      </w:r>
    </w:p>
    <w:p w:rsidR="00362627" w:rsidRPr="00362627" w:rsidRDefault="00362627" w:rsidP="00362627">
      <w:pPr>
        <w:tabs>
          <w:tab w:val="left" w:pos="567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proofErr w:type="gramStart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kötelezettségvállalás</w:t>
      </w:r>
      <w:proofErr w:type="gramEnd"/>
    </w:p>
    <w:p w:rsidR="00362627" w:rsidRPr="00362627" w:rsidRDefault="00362627" w:rsidP="00362627">
      <w:pPr>
        <w:tabs>
          <w:tab w:val="left" w:pos="567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Költségvetési határozat végrehajtása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gazdálkodásának végrehajtásával kapcsolatos feladatokat a hivatal látja el. A kötelezettségvállalás, utalványozás, ellenjegyzés, érvényesítés jelen megállapodás 1. mellékletét képző aláírási címpéldány szerint történik.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Kötelezettségvállalás rendje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Nemzetiségi Önkormányzat nevében a Nemzetiségi Önkormányzat feladatainak ellátása (végrehajtása) során kötelezettséget vállalni (továbbiakban: kötelezettségvállalás) kizárólag 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Erdei-Nagy Attiláné elnök, vagy </w:t>
      </w:r>
      <w:proofErr w:type="gramStart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távollétében</w:t>
      </w:r>
      <w:proofErr w:type="gramEnd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az elnök összeférhetetlensége, érintettsége esetén Zemlényiné Lakatos Renáta elnök-helyettes jogosult.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kötelezettségvállalás előtt a kötelezettséget vállalónak meg kell győződnie arról, hogy a rendelkezésre álló, fel nem használt előirányzat biztosítja-e a kiadás teljesítésére a fedezetet. Kötelezettségvállalás 100.000 forint felett csak írásban és a kötelezettség ellenjegyzése után történhet. A kötelezettségvállalás nyilvántartásának vezetése a hivatal feladata, betartva a hivatal Gazdálkodási Szabályzatában foglaltakat.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kötelezettségvállalás során be kell tartani az Áht és az Áht végrehajtási rendelkezéseit, valamint a hivatal Gazdálkodási Szabályzatában foglaltakat.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Utalványozás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a kiadás teljesítésének, a bevétel beszedésének vagy elszámolásának elrendelésére (továbbiak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ban: utalványozására) kizárólag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Erdei-Nagy Attiláné elnök, vagy távollétében, vagy összeférhetetlensége érintettsége esetén az általa felhatalmazott Zemlényiné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Lakatos Renáta elnökhelyettes 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jogosult. Utalványozni csak érvényesítés után lehet. Pénzügyi teljesítésre az utalványozás után és az utalványozás ellenjegyzése mellett kerülhet sor. Az utalványozás során be kell tartani Áht. </w:t>
      </w:r>
      <w:proofErr w:type="gramStart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és</w:t>
      </w:r>
      <w:proofErr w:type="gramEnd"/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Áht. végrehajtási rendelkezései, valamint a hivatal gazdálkodási szabályzatában foglaltakat.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Ellenjegyzés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kötelezettségvállalás valamint az utalvány ellenjegyzését házipénztár esetén Gilányi Zsoltné banki utalás esetén Kiss Péterné végzi. Az ellenjegyzés csak az előirányzat és a fedezet meglétének, valamint jogszerűsítésének ellenőrzésére irányul. Az ellenjegyzés során be kell tartani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Áht és az Áht végrehajtási 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rendelkezései, valamint a hivatal gazdálkodási szabályzatában lefoglaltakat.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Érvényesítés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érvényesítést 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Kiss Péterné pénzügyi- számviteli szakképesítésű köztisztviselő végzi. Érvényesítés során be kell tartani az Áht. és az Áht végrehajtás rendelkezései, valamint a hivatal gazdálkodási szabályzatában foglaltakat.</w:t>
      </w:r>
    </w:p>
    <w:p w:rsid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6ACC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6ACC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6ACC" w:rsidRPr="00362627" w:rsidRDefault="00876ACC" w:rsidP="00362627">
      <w:pPr>
        <w:tabs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6.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Szakmai teljesítés igazolása</w:t>
      </w: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 teljesítés igazolása a nemzetiségi önkormányzat nevében a nemzetiségi önkormányzat elnöke Erdei-Nagy Attiláné írásban jogosult.</w:t>
      </w: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szakmai teljesítés igazolása a kiadás utalványozása előtt történik.</w:t>
      </w: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szakmai teljesítés igazolása során ellenőrizhető okmányok alapján ellenőrizni, szakmailag igazolni kell</w:t>
      </w: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kiadások teljességének jogosságát</w:t>
      </w: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 kiadások összegszerűségét</w:t>
      </w:r>
    </w:p>
    <w:p w:rsidR="00362627" w:rsidRPr="00362627" w:rsidRDefault="00362627" w:rsidP="00362627">
      <w:pPr>
        <w:tabs>
          <w:tab w:val="left" w:pos="567"/>
          <w:tab w:val="left" w:pos="993"/>
          <w:tab w:val="left" w:pos="9072"/>
        </w:tabs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ellenszolgáltatást is magába foglaló kötelezettségvállalás esetében annak teljesítését.</w:t>
      </w:r>
      <w:r w:rsidRPr="00362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362627" w:rsidRP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IV. Hernádkaki Roma Nemzetiségi Önkormányzat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pénzforgalmi</w:t>
      </w:r>
      <w:proofErr w:type="gramEnd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számlája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V. Összeférhetetlenségi követelmények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Nemzetiségi Önkormányzat tekintetében 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 A kötelezettségvállalási, pénzügyi ellenjegyzési, érvényesítési, utalványozási és teljesítési igazolására irányuló feladatot nem végezheti az a személy, aki azt a tevékenységet a Polgári Törvénykönyv szerinti közeli hozzátartozója, vagy maga javára látná el. 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VI. A Nemzetiségi Önkormányzat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pénzforgalmi</w:t>
      </w:r>
      <w:proofErr w:type="gramEnd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számlája, pénzellátás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gazdálkodásával összefüggő pénzforgalom a Nemzetiségi Önkormányzat által megnyitott fizetési számlán bonyolódik. A Nemzetiségi Önkormányzat fizetési számláját a helyi önkormányzat által választott számlavezető banknál végzi.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Elnökét és az általa meghatalmazott személyt- a banki aláírás bejelentés szerint- a fizetési számla feletti rendelkezési jogosultságát illeti meg.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részére a pénztártevékenységet Kiss Péterné pénzügyi főmunkatárs látja el.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Nemzetiségi Önkormányzat önálló fizetési számlájának megnyitásával, törzskönyvi nyilvántartásba vételével és adószám igénylésével kapcsolatos feladatokat a Hivatal köztisztviselője Tóth Ágnes látja el.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központi költségvetés támogatása közvetlenül a Nemzetiségi Önkormányzat saját bankszámlájára érkezik.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Default="00876ACC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Default="00876ACC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6ACC" w:rsidRPr="00362627" w:rsidRDefault="00876ACC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VII. Vagyoni és számviteli nyilvántartás,</w:t>
      </w:r>
    </w:p>
    <w:p w:rsidR="00362627" w:rsidRPr="00362627" w:rsidRDefault="00362627" w:rsidP="00362627">
      <w:pPr>
        <w:tabs>
          <w:tab w:val="left" w:leader="underscore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adatszolgáltatás</w:t>
      </w:r>
      <w:proofErr w:type="gramEnd"/>
      <w:r w:rsidRPr="0036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rendje</w:t>
      </w:r>
    </w:p>
    <w:p w:rsidR="00362627" w:rsidRPr="00362627" w:rsidRDefault="00362627" w:rsidP="00362627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 Gesztelyi Közös Önkormányzati Hivatal a helyi nemzetiségi önkormányzat vagyoni, számviteli nyilvántartásait a helyi önkormányzat nyilvántartásain belül elkülönítetten végzi. Az adatszolgáltatás során szolgáltatott adatok valódiaságáért, a számviteli szabályokkal és a statisztikai rendszerrel való tartalmi egyezőségéért a nemzetiségi önkormányzat tekintetében az elnök felelős.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Az együttműködési megállapodást minden évben január 31-ig kell felülvizsgálni és szükség szerint módosítani.</w:t>
      </w:r>
    </w:p>
    <w:p w:rsidR="00362627" w:rsidRPr="00362627" w:rsidRDefault="00362627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2627" w:rsidRPr="00362627" w:rsidRDefault="001A0FEF" w:rsidP="001A0FEF">
      <w:pPr>
        <w:tabs>
          <w:tab w:val="left" w:pos="567"/>
          <w:tab w:val="left" w:pos="993"/>
          <w:tab w:val="left" w:leader="underscore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362627" w:rsidRPr="00362627">
        <w:rPr>
          <w:rFonts w:ascii="Times New Roman" w:eastAsia="Times New Roman" w:hAnsi="Times New Roman" w:cs="Times New Roman"/>
          <w:sz w:val="24"/>
          <w:szCs w:val="24"/>
          <w:lang w:eastAsia="ar-SA"/>
        </w:rPr>
        <w:t>z együttműködési megállapodást Hernádkak község Önkormányzatának Képviselő- testülete 56/2014. Kt. sz. határozatával, míg Hernádkak község Roma Önkormányzat Képviselő- testülete 6/2014. sz. határozatával hagyta jóvá.</w:t>
      </w:r>
    </w:p>
    <w:p w:rsidR="00E911CB" w:rsidRDefault="00E911CB"/>
    <w:sectPr w:rsidR="00E9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27"/>
    <w:rsid w:val="001A0FEF"/>
    <w:rsid w:val="00362627"/>
    <w:rsid w:val="005B7AD1"/>
    <w:rsid w:val="00697E16"/>
    <w:rsid w:val="00876ACC"/>
    <w:rsid w:val="0097635A"/>
    <w:rsid w:val="00E9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21B0-DCBB-478A-A7D4-6112F546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1330</Words>
  <Characters>9181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5</cp:revision>
  <dcterms:created xsi:type="dcterms:W3CDTF">2018-02-14T12:24:00Z</dcterms:created>
  <dcterms:modified xsi:type="dcterms:W3CDTF">2018-03-09T09:53:00Z</dcterms:modified>
</cp:coreProperties>
</file>