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2CAB5" w14:textId="77777777" w:rsidR="00935164" w:rsidRPr="00301971" w:rsidRDefault="00935164" w:rsidP="00935164">
      <w:pPr>
        <w:jc w:val="center"/>
        <w:rPr>
          <w:b/>
        </w:rPr>
      </w:pPr>
      <w:bookmarkStart w:id="0" w:name="_Hlk534632979"/>
      <w:bookmarkStart w:id="1" w:name="_Hlk37959619"/>
      <w:r w:rsidRPr="001000E7">
        <w:rPr>
          <w:b/>
        </w:rPr>
        <w:t>a</w:t>
      </w:r>
      <w:r>
        <w:rPr>
          <w:b/>
        </w:rPr>
        <w:t xml:space="preserve"> </w:t>
      </w:r>
      <w:r w:rsidRPr="0049565F">
        <w:rPr>
          <w:b/>
          <w:szCs w:val="24"/>
        </w:rPr>
        <w:t xml:space="preserve">településkép védelméről </w:t>
      </w:r>
      <w:r>
        <w:rPr>
          <w:b/>
          <w:szCs w:val="24"/>
        </w:rPr>
        <w:t xml:space="preserve">szóló </w:t>
      </w:r>
      <w:r w:rsidRPr="0049565F">
        <w:rPr>
          <w:b/>
          <w:szCs w:val="24"/>
        </w:rPr>
        <w:t>11/2017</w:t>
      </w:r>
      <w:r>
        <w:rPr>
          <w:b/>
          <w:szCs w:val="24"/>
        </w:rPr>
        <w:t>.</w:t>
      </w:r>
      <w:r w:rsidRPr="0049565F">
        <w:rPr>
          <w:b/>
          <w:szCs w:val="24"/>
        </w:rPr>
        <w:t xml:space="preserve"> (XII.</w:t>
      </w:r>
      <w:r>
        <w:rPr>
          <w:b/>
          <w:szCs w:val="24"/>
        </w:rPr>
        <w:t xml:space="preserve"> </w:t>
      </w:r>
      <w:r w:rsidRPr="0049565F">
        <w:rPr>
          <w:b/>
          <w:szCs w:val="24"/>
        </w:rPr>
        <w:t xml:space="preserve">29.) </w:t>
      </w:r>
      <w:r w:rsidRPr="0014131E">
        <w:rPr>
          <w:b/>
        </w:rPr>
        <w:t>önkormányzati rendelet</w:t>
      </w:r>
      <w:r>
        <w:rPr>
          <w:b/>
        </w:rPr>
        <w:t xml:space="preserve"> módosításának indokolása és </w:t>
      </w:r>
      <w:r w:rsidRPr="00301971">
        <w:rPr>
          <w:b/>
        </w:rPr>
        <w:t>előzetes hatásvizsgálata</w:t>
      </w:r>
    </w:p>
    <w:p w14:paraId="1A477BBD" w14:textId="77777777" w:rsidR="00935164" w:rsidRDefault="00935164" w:rsidP="00935164">
      <w:pPr>
        <w:jc w:val="both"/>
        <w:rPr>
          <w:bCs/>
        </w:rPr>
      </w:pPr>
    </w:p>
    <w:p w14:paraId="4362D069" w14:textId="77777777" w:rsidR="00935164" w:rsidRDefault="00935164" w:rsidP="00935164">
      <w:pPr>
        <w:jc w:val="both"/>
        <w:rPr>
          <w:bCs/>
        </w:rPr>
      </w:pPr>
    </w:p>
    <w:p w14:paraId="40E22250" w14:textId="77777777" w:rsidR="00935164" w:rsidRPr="00E15654" w:rsidRDefault="00935164" w:rsidP="00935164">
      <w:pPr>
        <w:jc w:val="both"/>
        <w:rPr>
          <w:iCs/>
        </w:rPr>
      </w:pPr>
      <w:r>
        <w:rPr>
          <w:bCs/>
        </w:rPr>
        <w:t>A</w:t>
      </w:r>
      <w:bookmarkEnd w:id="0"/>
      <w:bookmarkEnd w:id="1"/>
      <w:r w:rsidRPr="004F59A2">
        <w:rPr>
          <w:lang w:eastAsia="en-US"/>
        </w:rPr>
        <w:t xml:space="preserve"> településkép védelméről szóló 2016. évi LXXIV. törvény 12. § (2) bekezdésében</w:t>
      </w:r>
      <w:r w:rsidRPr="004F59A2">
        <w:rPr>
          <w:iCs/>
          <w:lang w:eastAsia="en-US"/>
        </w:rPr>
        <w:t xml:space="preserve"> </w:t>
      </w:r>
      <w:r>
        <w:rPr>
          <w:iCs/>
          <w:lang w:eastAsia="en-US"/>
        </w:rPr>
        <w:t xml:space="preserve">foglalt felhatalmazás alapján alkothatja meg a helyi önkormányzat képviselő-testülete a településkép védelmének </w:t>
      </w:r>
      <w:r w:rsidRPr="00D97F98">
        <w:rPr>
          <w:iCs/>
        </w:rPr>
        <w:t>szabályait.</w:t>
      </w:r>
    </w:p>
    <w:p w14:paraId="3E4B2C8E" w14:textId="77777777" w:rsidR="00935164" w:rsidRPr="00E15654" w:rsidRDefault="00935164" w:rsidP="00935164">
      <w:pPr>
        <w:jc w:val="both"/>
        <w:rPr>
          <w:bCs/>
          <w:iCs/>
        </w:rPr>
      </w:pPr>
      <w:r w:rsidRPr="00B66A76">
        <w:rPr>
          <w:bCs/>
          <w:iCs/>
        </w:rPr>
        <w:t xml:space="preserve">Bánhorváti Községi Önkormányzat Képviselő-testületének </w:t>
      </w:r>
      <w:r w:rsidRPr="00B66A76">
        <w:rPr>
          <w:bCs/>
          <w:szCs w:val="24"/>
        </w:rPr>
        <w:t>a településkép védelméről szóló 11/2017. (XII. 29.) önkormányzati rendelet</w:t>
      </w:r>
      <w:r w:rsidRPr="00B66A76">
        <w:rPr>
          <w:bCs/>
          <w:iCs/>
        </w:rPr>
        <w:t>ének módosítása vált szükségessé, mivel a</w:t>
      </w:r>
      <w:r>
        <w:rPr>
          <w:bCs/>
          <w:iCs/>
        </w:rPr>
        <w:t xml:space="preserve"> hatályban lévő rendelet nem tartalmaz rendelkezést a romos, településképet rontó ingatlanokkal kapcsolatosan.</w:t>
      </w:r>
    </w:p>
    <w:p w14:paraId="64F92717" w14:textId="77777777" w:rsidR="00935164" w:rsidRPr="00301971" w:rsidRDefault="00935164" w:rsidP="00935164"/>
    <w:p w14:paraId="455D7F96" w14:textId="77777777" w:rsidR="00935164" w:rsidRPr="00301971" w:rsidRDefault="00935164" w:rsidP="00935164">
      <w:pPr>
        <w:jc w:val="both"/>
      </w:pPr>
      <w:r w:rsidRPr="00301971">
        <w:t>A 2011. január 1-jétől hatályos, a jogalkotásról szóló 2010. évi CXXX. törvény (a továbbiakban</w:t>
      </w:r>
      <w:r>
        <w:t>:</w:t>
      </w:r>
      <w:r w:rsidRPr="00301971">
        <w:t xml:space="preserve"> </w:t>
      </w:r>
      <w:proofErr w:type="spellStart"/>
      <w:r w:rsidRPr="00301971">
        <w:t>Jat</w:t>
      </w:r>
      <w:proofErr w:type="spellEnd"/>
      <w:r w:rsidRPr="00301971">
        <w:t>.) 17. §-a szerint:</w:t>
      </w:r>
    </w:p>
    <w:p w14:paraId="2EF47C5A" w14:textId="77777777" w:rsidR="00935164" w:rsidRPr="00301971" w:rsidRDefault="00935164" w:rsidP="00935164">
      <w:pPr>
        <w:jc w:val="both"/>
      </w:pPr>
    </w:p>
    <w:p w14:paraId="745360E2" w14:textId="77777777" w:rsidR="00935164" w:rsidRPr="00301971" w:rsidRDefault="00935164" w:rsidP="00935164">
      <w:pPr>
        <w:tabs>
          <w:tab w:val="left" w:pos="720"/>
          <w:tab w:val="left" w:pos="1260"/>
        </w:tabs>
        <w:ind w:left="1260" w:hanging="1260"/>
        <w:jc w:val="both"/>
      </w:pPr>
      <w:r>
        <w:t>17. §</w:t>
      </w:r>
      <w:r w:rsidRPr="00301971">
        <w:tab/>
        <w:t>(1)</w:t>
      </w:r>
      <w:r w:rsidRPr="00301971">
        <w:tab/>
        <w:t>A jogszabály előkészítője – a jogszabályban feltételezett hatásaihoz igazodó részletességű – előzetes hatásvizsgálat elvégzésével felméri a szabályozás várható következményeit.</w:t>
      </w:r>
    </w:p>
    <w:p w14:paraId="3DB8B649" w14:textId="77777777" w:rsidR="00935164" w:rsidRPr="00301971" w:rsidRDefault="00935164" w:rsidP="00935164">
      <w:pPr>
        <w:tabs>
          <w:tab w:val="left" w:pos="720"/>
          <w:tab w:val="left" w:pos="1260"/>
        </w:tabs>
        <w:jc w:val="both"/>
      </w:pPr>
    </w:p>
    <w:p w14:paraId="7235F5D8" w14:textId="77777777" w:rsidR="00935164" w:rsidRPr="00301971" w:rsidRDefault="00935164" w:rsidP="00935164">
      <w:pPr>
        <w:tabs>
          <w:tab w:val="left" w:pos="720"/>
          <w:tab w:val="left" w:pos="1260"/>
        </w:tabs>
        <w:ind w:left="708"/>
        <w:jc w:val="both"/>
      </w:pPr>
      <w:r w:rsidRPr="00301971">
        <w:t xml:space="preserve">(2) </w:t>
      </w:r>
      <w:r w:rsidRPr="00301971">
        <w:tab/>
        <w:t>A hatásvizsgálat során vizsgálni kell</w:t>
      </w:r>
    </w:p>
    <w:p w14:paraId="1B254BD1" w14:textId="77777777" w:rsidR="00935164" w:rsidRPr="00301971" w:rsidRDefault="00935164" w:rsidP="00935164">
      <w:pPr>
        <w:tabs>
          <w:tab w:val="left" w:pos="720"/>
          <w:tab w:val="left" w:pos="1260"/>
        </w:tabs>
        <w:ind w:left="708"/>
        <w:jc w:val="both"/>
      </w:pPr>
    </w:p>
    <w:p w14:paraId="00DA5D95" w14:textId="77777777" w:rsidR="00935164" w:rsidRPr="00301971" w:rsidRDefault="00935164" w:rsidP="00935164">
      <w:pPr>
        <w:tabs>
          <w:tab w:val="left" w:pos="720"/>
          <w:tab w:val="left" w:pos="1260"/>
          <w:tab w:val="left" w:pos="1620"/>
        </w:tabs>
        <w:ind w:left="708"/>
        <w:jc w:val="both"/>
      </w:pPr>
      <w:r w:rsidRPr="00301971">
        <w:tab/>
      </w:r>
      <w:r w:rsidRPr="00301971">
        <w:tab/>
        <w:t>a.)</w:t>
      </w:r>
      <w:r w:rsidRPr="00301971">
        <w:tab/>
        <w:t>a tervezett jogszabály valamennyi jelentősnek ítélt hatását, különösen</w:t>
      </w:r>
    </w:p>
    <w:p w14:paraId="5444C9A3" w14:textId="77777777" w:rsidR="00935164" w:rsidRPr="00301971" w:rsidRDefault="00935164" w:rsidP="00935164">
      <w:pPr>
        <w:tabs>
          <w:tab w:val="left" w:pos="720"/>
          <w:tab w:val="left" w:pos="1620"/>
        </w:tabs>
        <w:ind w:left="708"/>
        <w:jc w:val="both"/>
      </w:pPr>
      <w:r w:rsidRPr="00301971">
        <w:tab/>
      </w:r>
      <w:r w:rsidRPr="00301971">
        <w:tab/>
      </w:r>
      <w:proofErr w:type="spellStart"/>
      <w:r w:rsidRPr="00301971">
        <w:t>aa</w:t>
      </w:r>
      <w:proofErr w:type="spellEnd"/>
      <w:r w:rsidRPr="00301971">
        <w:t>.) társadalmi, gazdasági, költségvetési hatásait</w:t>
      </w:r>
    </w:p>
    <w:p w14:paraId="6DF84802" w14:textId="77777777" w:rsidR="00935164" w:rsidRPr="00301971" w:rsidRDefault="00935164" w:rsidP="00935164">
      <w:pPr>
        <w:tabs>
          <w:tab w:val="left" w:pos="720"/>
          <w:tab w:val="left" w:pos="1620"/>
        </w:tabs>
        <w:ind w:left="708"/>
        <w:jc w:val="both"/>
      </w:pPr>
      <w:r w:rsidRPr="00301971">
        <w:tab/>
      </w:r>
      <w:r w:rsidRPr="00301971">
        <w:tab/>
        <w:t>ab.) környezeti és egészségi következményeit,</w:t>
      </w:r>
    </w:p>
    <w:p w14:paraId="68EF5934" w14:textId="77777777" w:rsidR="00935164" w:rsidRPr="00301971" w:rsidRDefault="00935164" w:rsidP="00935164">
      <w:pPr>
        <w:tabs>
          <w:tab w:val="left" w:pos="720"/>
          <w:tab w:val="left" w:pos="1620"/>
        </w:tabs>
        <w:ind w:left="708"/>
        <w:jc w:val="both"/>
      </w:pPr>
      <w:r w:rsidRPr="00301971">
        <w:tab/>
      </w:r>
      <w:r w:rsidRPr="00301971">
        <w:tab/>
      </w:r>
      <w:proofErr w:type="spellStart"/>
      <w:r w:rsidRPr="00301971">
        <w:t>ac</w:t>
      </w:r>
      <w:proofErr w:type="spellEnd"/>
      <w:r w:rsidRPr="00301971">
        <w:t xml:space="preserve">.) adminisztratív </w:t>
      </w:r>
      <w:proofErr w:type="spellStart"/>
      <w:r w:rsidRPr="00301971">
        <w:t>terheket</w:t>
      </w:r>
      <w:proofErr w:type="spellEnd"/>
      <w:r w:rsidRPr="00301971">
        <w:t xml:space="preserve"> befolyásoló hatásait, valamint</w:t>
      </w:r>
    </w:p>
    <w:p w14:paraId="413E100F" w14:textId="77777777" w:rsidR="00935164" w:rsidRPr="00301971" w:rsidRDefault="00935164" w:rsidP="00935164">
      <w:pPr>
        <w:tabs>
          <w:tab w:val="left" w:pos="1260"/>
          <w:tab w:val="left" w:pos="1620"/>
        </w:tabs>
        <w:ind w:left="1620" w:hanging="912"/>
        <w:jc w:val="both"/>
      </w:pPr>
      <w:r w:rsidRPr="00301971">
        <w:tab/>
      </w:r>
      <w:proofErr w:type="spellStart"/>
      <w:r w:rsidRPr="00301971">
        <w:t>b.</w:t>
      </w:r>
      <w:proofErr w:type="spellEnd"/>
      <w:r w:rsidRPr="00301971">
        <w:t>)</w:t>
      </w:r>
      <w:r w:rsidRPr="00301971">
        <w:tab/>
        <w:t>a jogszabály megalkotásának szükségességét, a jogalkotás elmaradásának várható következményeit, és</w:t>
      </w:r>
    </w:p>
    <w:p w14:paraId="04FAE612" w14:textId="77777777" w:rsidR="00935164" w:rsidRPr="00301971" w:rsidRDefault="00935164" w:rsidP="00935164">
      <w:pPr>
        <w:tabs>
          <w:tab w:val="left" w:pos="1260"/>
          <w:tab w:val="left" w:pos="1620"/>
        </w:tabs>
        <w:ind w:left="1620" w:hanging="912"/>
        <w:jc w:val="both"/>
      </w:pPr>
      <w:r w:rsidRPr="00301971">
        <w:tab/>
        <w:t>c.)</w:t>
      </w:r>
      <w:r w:rsidRPr="00301971">
        <w:tab/>
        <w:t>a jogszabály alkalmazásához szükséges személyi, tárgyi és pénzügyi feltételeket.</w:t>
      </w:r>
    </w:p>
    <w:p w14:paraId="2858F31E" w14:textId="77777777" w:rsidR="00935164" w:rsidRPr="00301971" w:rsidRDefault="00935164" w:rsidP="00935164"/>
    <w:p w14:paraId="777390AC" w14:textId="77777777" w:rsidR="00935164" w:rsidRPr="00301971" w:rsidRDefault="00935164" w:rsidP="00935164">
      <w:pPr>
        <w:jc w:val="both"/>
      </w:pPr>
      <w:r>
        <w:rPr>
          <w:b/>
        </w:rPr>
        <w:t>A</w:t>
      </w:r>
      <w:r w:rsidRPr="0049565F">
        <w:rPr>
          <w:b/>
          <w:szCs w:val="24"/>
        </w:rPr>
        <w:t xml:space="preserve"> településkép védelméről </w:t>
      </w:r>
      <w:r>
        <w:rPr>
          <w:b/>
          <w:szCs w:val="24"/>
        </w:rPr>
        <w:t>szóló</w:t>
      </w:r>
      <w:r w:rsidRPr="0049565F">
        <w:rPr>
          <w:b/>
          <w:szCs w:val="24"/>
        </w:rPr>
        <w:t xml:space="preserve"> önkormányzati rendelet</w:t>
      </w:r>
      <w:r>
        <w:t xml:space="preserve"> módosításában </w:t>
      </w:r>
      <w:r w:rsidRPr="00301971">
        <w:t>foglalta</w:t>
      </w:r>
      <w:r>
        <w:t xml:space="preserve">k várható hatásai – a </w:t>
      </w:r>
      <w:proofErr w:type="spellStart"/>
      <w:r>
        <w:t>Jat</w:t>
      </w:r>
      <w:proofErr w:type="spellEnd"/>
      <w:r>
        <w:t xml:space="preserve"> 17. § </w:t>
      </w:r>
      <w:r w:rsidRPr="00301971">
        <w:t>(2) bekezdésében foglalt elvárások tükrében – az alábbiak szerint összegezhetők:</w:t>
      </w:r>
    </w:p>
    <w:p w14:paraId="27822154" w14:textId="77777777" w:rsidR="00935164" w:rsidRPr="00301971" w:rsidRDefault="00935164" w:rsidP="00935164"/>
    <w:p w14:paraId="46455D52" w14:textId="77777777" w:rsidR="00935164" w:rsidRPr="00301971" w:rsidRDefault="00935164" w:rsidP="00935164">
      <w:pPr>
        <w:jc w:val="center"/>
        <w:rPr>
          <w:b/>
        </w:rPr>
      </w:pPr>
      <w:r w:rsidRPr="00301971">
        <w:rPr>
          <w:b/>
        </w:rPr>
        <w:t>A tervezett jogszabály valamennyi jelentősnek ítélt hatása</w:t>
      </w:r>
    </w:p>
    <w:p w14:paraId="6E19E967" w14:textId="77777777" w:rsidR="00935164" w:rsidRPr="00301971" w:rsidRDefault="00935164" w:rsidP="00935164"/>
    <w:p w14:paraId="731C13B8" w14:textId="77777777" w:rsidR="00935164" w:rsidRPr="00301971" w:rsidRDefault="00935164" w:rsidP="00935164">
      <w:pPr>
        <w:tabs>
          <w:tab w:val="left" w:pos="360"/>
        </w:tabs>
        <w:rPr>
          <w:b/>
        </w:rPr>
      </w:pPr>
      <w:r w:rsidRPr="00301971">
        <w:tab/>
      </w:r>
      <w:r w:rsidRPr="00301971">
        <w:rPr>
          <w:b/>
        </w:rPr>
        <w:t>A jogszabály társadalmi, gazdasági, költségvetési hatásai</w:t>
      </w:r>
    </w:p>
    <w:p w14:paraId="172D6B10" w14:textId="77777777" w:rsidR="00935164" w:rsidRPr="00301971" w:rsidRDefault="00935164" w:rsidP="00935164">
      <w:pPr>
        <w:tabs>
          <w:tab w:val="left" w:pos="900"/>
        </w:tabs>
        <w:ind w:left="360"/>
      </w:pPr>
    </w:p>
    <w:p w14:paraId="447109F9" w14:textId="77777777" w:rsidR="00935164" w:rsidRPr="00301971" w:rsidRDefault="00935164" w:rsidP="00935164">
      <w:r>
        <w:t>1.</w:t>
      </w:r>
      <w:r w:rsidRPr="00301971">
        <w:t xml:space="preserve"> </w:t>
      </w:r>
      <w:r w:rsidRPr="00301971">
        <w:rPr>
          <w:i/>
        </w:rPr>
        <w:t xml:space="preserve">A </w:t>
      </w:r>
      <w:r w:rsidRPr="00301971">
        <w:rPr>
          <w:i/>
          <w:u w:val="single"/>
        </w:rPr>
        <w:t>társadalmi</w:t>
      </w:r>
      <w:r w:rsidRPr="00301971">
        <w:rPr>
          <w:i/>
        </w:rPr>
        <w:t xml:space="preserve"> hatásai</w:t>
      </w:r>
      <w:r>
        <w:rPr>
          <w:i/>
        </w:rPr>
        <w:t xml:space="preserve"> jelentéktelenek.</w:t>
      </w:r>
    </w:p>
    <w:p w14:paraId="3F986209" w14:textId="77777777" w:rsidR="00935164" w:rsidRPr="00301971" w:rsidRDefault="00935164" w:rsidP="00935164">
      <w:pPr>
        <w:tabs>
          <w:tab w:val="left" w:pos="900"/>
          <w:tab w:val="left" w:pos="1440"/>
        </w:tabs>
        <w:ind w:left="1416"/>
      </w:pPr>
    </w:p>
    <w:p w14:paraId="53F5BF2C" w14:textId="77777777" w:rsidR="00935164" w:rsidRPr="00301971" w:rsidRDefault="00935164" w:rsidP="00935164">
      <w:pPr>
        <w:tabs>
          <w:tab w:val="left" w:pos="1440"/>
        </w:tabs>
        <w:rPr>
          <w:i/>
        </w:rPr>
      </w:pPr>
      <w:r w:rsidRPr="00147E97">
        <w:rPr>
          <w:iCs/>
        </w:rPr>
        <w:t>2.</w:t>
      </w:r>
      <w:r>
        <w:rPr>
          <w:i/>
        </w:rPr>
        <w:t xml:space="preserve"> </w:t>
      </w:r>
      <w:r w:rsidRPr="00301971">
        <w:rPr>
          <w:i/>
        </w:rPr>
        <w:t>A Tervezet</w:t>
      </w:r>
      <w:r>
        <w:rPr>
          <w:i/>
        </w:rPr>
        <w:t>nek</w:t>
      </w:r>
      <w:r w:rsidRPr="00301971">
        <w:rPr>
          <w:i/>
        </w:rPr>
        <w:t xml:space="preserve"> </w:t>
      </w:r>
      <w:r w:rsidRPr="00301971">
        <w:rPr>
          <w:i/>
          <w:u w:val="single"/>
        </w:rPr>
        <w:t>gazdasági</w:t>
      </w:r>
      <w:r w:rsidRPr="00301971">
        <w:rPr>
          <w:i/>
        </w:rPr>
        <w:t xml:space="preserve">, </w:t>
      </w:r>
      <w:r w:rsidRPr="00301971">
        <w:rPr>
          <w:i/>
          <w:u w:val="single"/>
        </w:rPr>
        <w:t>költségvetési</w:t>
      </w:r>
      <w:r w:rsidRPr="00301971">
        <w:rPr>
          <w:i/>
        </w:rPr>
        <w:t xml:space="preserve"> hatásai</w:t>
      </w:r>
      <w:r>
        <w:rPr>
          <w:i/>
        </w:rPr>
        <w:t xml:space="preserve"> nincsenek.</w:t>
      </w:r>
    </w:p>
    <w:p w14:paraId="15B3D4E7" w14:textId="77777777" w:rsidR="00935164" w:rsidRPr="00301971" w:rsidRDefault="00935164" w:rsidP="00935164">
      <w:pPr>
        <w:ind w:left="360"/>
        <w:jc w:val="both"/>
      </w:pPr>
    </w:p>
    <w:p w14:paraId="2EFB5432" w14:textId="77777777" w:rsidR="00935164" w:rsidRPr="00301971" w:rsidRDefault="00935164" w:rsidP="00935164">
      <w:pPr>
        <w:tabs>
          <w:tab w:val="left" w:pos="900"/>
          <w:tab w:val="left" w:pos="1440"/>
        </w:tabs>
      </w:pPr>
      <w:r>
        <w:t xml:space="preserve">3. </w:t>
      </w:r>
      <w:r w:rsidRPr="00301971">
        <w:rPr>
          <w:i/>
        </w:rPr>
        <w:t>A jogszabály környezeti és egészségi következményei</w:t>
      </w:r>
      <w:r w:rsidRPr="00301971">
        <w:t>:</w:t>
      </w:r>
    </w:p>
    <w:p w14:paraId="7AD9D76E" w14:textId="77777777" w:rsidR="00935164" w:rsidRPr="00301971" w:rsidRDefault="00935164" w:rsidP="00935164">
      <w:pPr>
        <w:tabs>
          <w:tab w:val="left" w:pos="1440"/>
        </w:tabs>
        <w:ind w:left="360"/>
      </w:pPr>
    </w:p>
    <w:p w14:paraId="122A8BED" w14:textId="77777777" w:rsidR="00935164" w:rsidRPr="004563CE" w:rsidRDefault="00935164" w:rsidP="00935164">
      <w:pPr>
        <w:tabs>
          <w:tab w:val="left" w:pos="1440"/>
        </w:tabs>
        <w:ind w:left="1416"/>
        <w:rPr>
          <w:color w:val="000000"/>
        </w:rPr>
      </w:pPr>
      <w:r w:rsidRPr="004563CE">
        <w:rPr>
          <w:color w:val="000000"/>
        </w:rPr>
        <w:t>A rendelet</w:t>
      </w:r>
      <w:r>
        <w:rPr>
          <w:color w:val="000000"/>
        </w:rPr>
        <w:t>nek</w:t>
      </w:r>
      <w:r w:rsidRPr="004563CE">
        <w:rPr>
          <w:color w:val="000000"/>
        </w:rPr>
        <w:t xml:space="preserve"> a jelenlegi helyzethez viszonyított környezeti és egészségi következményei nincsenek.</w:t>
      </w:r>
    </w:p>
    <w:p w14:paraId="0546CB68" w14:textId="77777777" w:rsidR="00935164" w:rsidRPr="00301971" w:rsidRDefault="00935164" w:rsidP="00935164">
      <w:pPr>
        <w:ind w:left="360"/>
      </w:pPr>
    </w:p>
    <w:p w14:paraId="07F61320" w14:textId="77777777" w:rsidR="00935164" w:rsidRPr="00301971" w:rsidRDefault="00935164" w:rsidP="00935164">
      <w:pPr>
        <w:tabs>
          <w:tab w:val="left" w:pos="900"/>
          <w:tab w:val="left" w:pos="1440"/>
        </w:tabs>
        <w:rPr>
          <w:i/>
        </w:rPr>
      </w:pPr>
      <w:r>
        <w:t xml:space="preserve">4. </w:t>
      </w:r>
      <w:r w:rsidRPr="00301971">
        <w:rPr>
          <w:i/>
        </w:rPr>
        <w:t xml:space="preserve">A jogszabály adminisztratív </w:t>
      </w:r>
      <w:proofErr w:type="spellStart"/>
      <w:r w:rsidRPr="00301971">
        <w:rPr>
          <w:i/>
        </w:rPr>
        <w:t>terheket</w:t>
      </w:r>
      <w:proofErr w:type="spellEnd"/>
      <w:r w:rsidRPr="00301971">
        <w:rPr>
          <w:i/>
        </w:rPr>
        <w:t xml:space="preserve"> befolyásoló hatásai:</w:t>
      </w:r>
    </w:p>
    <w:p w14:paraId="06486AE6" w14:textId="77777777" w:rsidR="00935164" w:rsidRPr="00301971" w:rsidRDefault="00935164" w:rsidP="00935164">
      <w:pPr>
        <w:tabs>
          <w:tab w:val="left" w:pos="900"/>
          <w:tab w:val="left" w:pos="1440"/>
        </w:tabs>
        <w:ind w:left="360"/>
      </w:pPr>
    </w:p>
    <w:p w14:paraId="2339BCD8" w14:textId="77777777" w:rsidR="00935164" w:rsidRPr="004563CE" w:rsidRDefault="00935164" w:rsidP="00935164">
      <w:pPr>
        <w:tabs>
          <w:tab w:val="left" w:pos="900"/>
          <w:tab w:val="left" w:pos="1440"/>
        </w:tabs>
        <w:ind w:left="1416"/>
        <w:rPr>
          <w:color w:val="000000"/>
        </w:rPr>
      </w:pPr>
      <w:r w:rsidRPr="004563CE">
        <w:rPr>
          <w:color w:val="000000"/>
        </w:rPr>
        <w:t xml:space="preserve">A rendelet az adminisztratív </w:t>
      </w:r>
      <w:proofErr w:type="spellStart"/>
      <w:r w:rsidRPr="004563CE">
        <w:rPr>
          <w:color w:val="000000"/>
        </w:rPr>
        <w:t>terheket</w:t>
      </w:r>
      <w:proofErr w:type="spellEnd"/>
      <w:r w:rsidRPr="004563CE">
        <w:rPr>
          <w:color w:val="000000"/>
        </w:rPr>
        <w:t xml:space="preserve"> növeli.</w:t>
      </w:r>
    </w:p>
    <w:p w14:paraId="790E624A" w14:textId="77777777" w:rsidR="00935164" w:rsidRPr="00301971" w:rsidRDefault="00935164" w:rsidP="00935164">
      <w:pPr>
        <w:ind w:left="360"/>
      </w:pPr>
    </w:p>
    <w:p w14:paraId="37DD9716" w14:textId="77777777" w:rsidR="00935164" w:rsidRPr="00301971" w:rsidRDefault="00935164" w:rsidP="00935164">
      <w:pPr>
        <w:ind w:left="360"/>
        <w:jc w:val="both"/>
        <w:rPr>
          <w:b/>
        </w:rPr>
      </w:pPr>
      <w:r w:rsidRPr="00301971">
        <w:rPr>
          <w:b/>
        </w:rPr>
        <w:t>A jogszabály megalkotásának szükségessége, a jogalkotás elmaradásának várható következményei:</w:t>
      </w:r>
    </w:p>
    <w:p w14:paraId="4AF9F78A" w14:textId="77777777" w:rsidR="00935164" w:rsidRPr="00301971" w:rsidRDefault="00935164" w:rsidP="00935164">
      <w:pPr>
        <w:tabs>
          <w:tab w:val="num" w:pos="360"/>
        </w:tabs>
        <w:ind w:left="360" w:hanging="360"/>
      </w:pPr>
    </w:p>
    <w:p w14:paraId="729A4D16" w14:textId="77777777" w:rsidR="00935164" w:rsidRPr="00301971" w:rsidRDefault="00935164" w:rsidP="00935164">
      <w:pPr>
        <w:tabs>
          <w:tab w:val="left" w:pos="360"/>
        </w:tabs>
        <w:ind w:left="360"/>
        <w:jc w:val="both"/>
      </w:pPr>
      <w:r>
        <w:rPr>
          <w:bCs/>
        </w:rPr>
        <w:t>A jogalkotás elmaradása esetén a romos ingatlanok tulajdonosaival szembeni fellépés jelentős nehézségekbe ütközne</w:t>
      </w:r>
      <w:r>
        <w:t>.</w:t>
      </w:r>
    </w:p>
    <w:p w14:paraId="248C2AAC" w14:textId="77777777" w:rsidR="00935164" w:rsidRPr="00301971" w:rsidRDefault="00935164" w:rsidP="00935164"/>
    <w:p w14:paraId="304DCEB2" w14:textId="77777777" w:rsidR="00935164" w:rsidRPr="00301971" w:rsidRDefault="00935164" w:rsidP="00935164">
      <w:pPr>
        <w:ind w:left="360"/>
        <w:jc w:val="both"/>
        <w:rPr>
          <w:b/>
        </w:rPr>
      </w:pPr>
      <w:r w:rsidRPr="00301971">
        <w:rPr>
          <w:b/>
        </w:rPr>
        <w:t>A jogszabály alkalmazásához szükséges személyi, szervezeti, tárgyi és pénzügyi feltételek:</w:t>
      </w:r>
    </w:p>
    <w:p w14:paraId="33FF3DB5" w14:textId="77777777" w:rsidR="00935164" w:rsidRPr="00301971" w:rsidRDefault="00935164" w:rsidP="00935164">
      <w:pPr>
        <w:rPr>
          <w:b/>
        </w:rPr>
      </w:pPr>
    </w:p>
    <w:p w14:paraId="61EF27B0" w14:textId="77777777" w:rsidR="00935164" w:rsidRPr="004563CE" w:rsidRDefault="00935164" w:rsidP="00935164">
      <w:pPr>
        <w:tabs>
          <w:tab w:val="left" w:pos="360"/>
        </w:tabs>
        <w:ind w:left="360"/>
        <w:jc w:val="both"/>
        <w:rPr>
          <w:color w:val="000000"/>
        </w:rPr>
      </w:pPr>
      <w:r w:rsidRPr="004563CE">
        <w:rPr>
          <w:color w:val="000000"/>
        </w:rPr>
        <w:t xml:space="preserve">A rendelet elfogadása esetén az új rendelet alkalmazása a jelenlegi szabályozáshoz képest többlet személyi feltételt </w:t>
      </w:r>
      <w:r>
        <w:rPr>
          <w:color w:val="000000"/>
        </w:rPr>
        <w:t xml:space="preserve">nem, </w:t>
      </w:r>
      <w:r w:rsidRPr="004563CE">
        <w:rPr>
          <w:color w:val="000000"/>
        </w:rPr>
        <w:t>munkaerő ráfordítást</w:t>
      </w:r>
      <w:r>
        <w:rPr>
          <w:color w:val="000000"/>
        </w:rPr>
        <w:t xml:space="preserve"> részben</w:t>
      </w:r>
      <w:r w:rsidRPr="004563CE">
        <w:rPr>
          <w:color w:val="000000"/>
        </w:rPr>
        <w:t xml:space="preserve"> igényel.</w:t>
      </w:r>
    </w:p>
    <w:p w14:paraId="2ED26A19" w14:textId="77777777" w:rsidR="00935164" w:rsidRPr="004563CE" w:rsidRDefault="00935164" w:rsidP="00935164">
      <w:pPr>
        <w:tabs>
          <w:tab w:val="left" w:pos="360"/>
        </w:tabs>
        <w:ind w:left="360"/>
        <w:jc w:val="both"/>
        <w:rPr>
          <w:color w:val="000000"/>
        </w:rPr>
      </w:pPr>
    </w:p>
    <w:p w14:paraId="593D0EC8" w14:textId="77777777" w:rsidR="00935164" w:rsidRPr="00301971" w:rsidRDefault="00935164" w:rsidP="00935164">
      <w:pPr>
        <w:rPr>
          <w:sz w:val="26"/>
          <w:szCs w:val="26"/>
        </w:rPr>
      </w:pPr>
    </w:p>
    <w:p w14:paraId="166CF65C" w14:textId="77777777" w:rsidR="00935164" w:rsidRPr="007707C4" w:rsidRDefault="00935164" w:rsidP="00935164">
      <w:r>
        <w:t>Bánhorváti, 2020. szeptember 14.</w:t>
      </w:r>
    </w:p>
    <w:p w14:paraId="6D33E9E1" w14:textId="77777777" w:rsidR="00935164" w:rsidRPr="007707C4" w:rsidRDefault="00935164" w:rsidP="00935164"/>
    <w:p w14:paraId="7BA0615C" w14:textId="77777777" w:rsidR="00935164" w:rsidRPr="007707C4" w:rsidRDefault="00935164" w:rsidP="00935164"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  <w:t>Dr. Szécsi Ottó</w:t>
      </w:r>
    </w:p>
    <w:p w14:paraId="52C3F3BE" w14:textId="77777777" w:rsidR="00935164" w:rsidRDefault="00935164" w:rsidP="00935164"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</w:r>
      <w:r w:rsidRPr="007707C4">
        <w:tab/>
        <w:t xml:space="preserve">         jegyző</w:t>
      </w:r>
    </w:p>
    <w:p w14:paraId="426A9A76" w14:textId="77777777" w:rsidR="00935164" w:rsidRPr="002E6DEE" w:rsidRDefault="00935164" w:rsidP="00935164">
      <w:pPr>
        <w:tabs>
          <w:tab w:val="center" w:pos="1701"/>
          <w:tab w:val="center" w:pos="6804"/>
        </w:tabs>
      </w:pPr>
    </w:p>
    <w:p w14:paraId="32029C01" w14:textId="77777777" w:rsidR="00CB4B59" w:rsidRDefault="00CB4B59"/>
    <w:sectPr w:rsidR="00CB4B59">
      <w:footerReference w:type="even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83ED" w14:textId="77777777" w:rsidR="00C446BD" w:rsidRDefault="00935164" w:rsidP="00B10E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E35D385" w14:textId="77777777" w:rsidR="00C446BD" w:rsidRDefault="0093516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64"/>
    <w:rsid w:val="00935164"/>
    <w:rsid w:val="00C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76E1"/>
  <w15:chartTrackingRefBased/>
  <w15:docId w15:val="{1B6854EB-7825-48EE-94B5-D80A574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16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35164"/>
    <w:pPr>
      <w:widowControl/>
      <w:tabs>
        <w:tab w:val="center" w:pos="4703"/>
        <w:tab w:val="right" w:pos="9406"/>
      </w:tabs>
      <w:suppressAutoHyphens w:val="0"/>
      <w:overflowPunct/>
      <w:autoSpaceDE/>
      <w:autoSpaceDN/>
      <w:adjustRightInd/>
      <w:textAlignment w:val="auto"/>
    </w:pPr>
    <w:rPr>
      <w:rFonts w:eastAsia="Calibri"/>
      <w:szCs w:val="24"/>
    </w:rPr>
  </w:style>
  <w:style w:type="character" w:customStyle="1" w:styleId="llbChar">
    <w:name w:val="Élőláb Char"/>
    <w:basedOn w:val="Bekezdsalapbettpusa"/>
    <w:link w:val="llb"/>
    <w:rsid w:val="00935164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3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Titkárság</dc:creator>
  <cp:keywords/>
  <dc:description/>
  <cp:lastModifiedBy>Banhorvati Titkárság</cp:lastModifiedBy>
  <cp:revision>1</cp:revision>
  <dcterms:created xsi:type="dcterms:W3CDTF">2020-10-01T11:56:00Z</dcterms:created>
  <dcterms:modified xsi:type="dcterms:W3CDTF">2020-10-01T11:58:00Z</dcterms:modified>
</cp:coreProperties>
</file>