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C97" w:rsidRDefault="00076C97" w:rsidP="00076C97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sz w:val="26"/>
        </w:rPr>
      </w:pPr>
    </w:p>
    <w:p w:rsidR="00076C97" w:rsidRDefault="00076C97" w:rsidP="00076C97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sz w:val="26"/>
        </w:rPr>
      </w:pPr>
    </w:p>
    <w:p w:rsidR="00076C97" w:rsidRPr="00B71BDE" w:rsidRDefault="00076C97" w:rsidP="00076C97">
      <w:pPr>
        <w:tabs>
          <w:tab w:val="left" w:pos="709"/>
          <w:tab w:val="left" w:pos="1080"/>
          <w:tab w:val="left" w:pos="4253"/>
          <w:tab w:val="left" w:pos="6840"/>
        </w:tabs>
        <w:spacing w:line="360" w:lineRule="auto"/>
        <w:jc w:val="center"/>
        <w:rPr>
          <w:b/>
        </w:rPr>
      </w:pPr>
      <w:r w:rsidRPr="00B71BDE">
        <w:t>1. függelék</w:t>
      </w:r>
    </w:p>
    <w:p w:rsidR="00076C97" w:rsidRPr="00067389" w:rsidRDefault="00076C97" w:rsidP="00076C97">
      <w:pPr>
        <w:tabs>
          <w:tab w:val="left" w:pos="-2694"/>
          <w:tab w:val="left" w:pos="709"/>
          <w:tab w:val="left" w:pos="7655"/>
          <w:tab w:val="left" w:pos="8222"/>
        </w:tabs>
        <w:ind w:left="360"/>
        <w:jc w:val="center"/>
      </w:pPr>
      <w:r w:rsidRPr="00067389">
        <w:t xml:space="preserve">a </w:t>
      </w:r>
      <w:r w:rsidRPr="005F5558">
        <w:rPr>
          <w:color w:val="000000"/>
        </w:rPr>
        <w:t>3/2012. (II. 13.</w:t>
      </w:r>
      <w:proofErr w:type="gramStart"/>
      <w:r w:rsidRPr="005F5558">
        <w:rPr>
          <w:color w:val="000000"/>
        </w:rPr>
        <w:t>)  önkormányzati</w:t>
      </w:r>
      <w:proofErr w:type="gramEnd"/>
      <w:r w:rsidRPr="00067389">
        <w:t xml:space="preserve"> rendelethez</w:t>
      </w:r>
    </w:p>
    <w:p w:rsidR="00076C97" w:rsidRPr="00067389" w:rsidRDefault="00076C97" w:rsidP="00076C97">
      <w:pPr>
        <w:tabs>
          <w:tab w:val="left" w:pos="-2694"/>
          <w:tab w:val="left" w:pos="709"/>
          <w:tab w:val="left" w:pos="7655"/>
          <w:tab w:val="left" w:pos="8222"/>
        </w:tabs>
        <w:ind w:left="360"/>
        <w:jc w:val="center"/>
      </w:pPr>
      <w:proofErr w:type="gramStart"/>
      <w:r w:rsidRPr="00067389">
        <w:t xml:space="preserve">„ </w:t>
      </w:r>
      <w:r>
        <w:t>1</w:t>
      </w:r>
      <w:r w:rsidRPr="00067389">
        <w:t>.</w:t>
      </w:r>
      <w:proofErr w:type="gramEnd"/>
      <w:r>
        <w:t xml:space="preserve"> függelék</w:t>
      </w:r>
      <w:r w:rsidRPr="00067389">
        <w:t xml:space="preserve"> a </w:t>
      </w:r>
      <w:r w:rsidRPr="005F5558">
        <w:rPr>
          <w:color w:val="000000"/>
        </w:rPr>
        <w:t>4/2002. (III. 5.)</w:t>
      </w:r>
      <w:r>
        <w:t xml:space="preserve"> ön</w:t>
      </w:r>
      <w:r w:rsidRPr="00067389">
        <w:t xml:space="preserve">kormányzati rendelethez”  </w:t>
      </w:r>
    </w:p>
    <w:p w:rsidR="00076C97" w:rsidRPr="00B71BDE" w:rsidRDefault="00076C97" w:rsidP="00076C97">
      <w:pPr>
        <w:pStyle w:val="Lbjegyzetszveg"/>
        <w:spacing w:line="360" w:lineRule="auto"/>
        <w:jc w:val="center"/>
        <w:rPr>
          <w:b/>
          <w:sz w:val="24"/>
          <w:szCs w:val="24"/>
        </w:rPr>
      </w:pPr>
    </w:p>
    <w:p w:rsidR="00076C97" w:rsidRPr="00B71BDE" w:rsidRDefault="00076C97" w:rsidP="00076C97">
      <w:pPr>
        <w:pStyle w:val="Lbjegyzetszveg"/>
        <w:spacing w:line="360" w:lineRule="auto"/>
        <w:jc w:val="center"/>
        <w:rPr>
          <w:b/>
          <w:sz w:val="24"/>
          <w:szCs w:val="24"/>
        </w:rPr>
      </w:pPr>
      <w:r w:rsidRPr="00B71BDE">
        <w:rPr>
          <w:b/>
          <w:sz w:val="24"/>
          <w:szCs w:val="24"/>
        </w:rPr>
        <w:t>HATÁLYOS JOGSZABÁLYOK</w:t>
      </w:r>
    </w:p>
    <w:p w:rsidR="00076C97" w:rsidRPr="00B71BDE" w:rsidRDefault="00076C97" w:rsidP="00076C97">
      <w:pPr>
        <w:tabs>
          <w:tab w:val="left" w:pos="709"/>
          <w:tab w:val="left" w:pos="1080"/>
          <w:tab w:val="left" w:pos="4253"/>
          <w:tab w:val="left" w:pos="6840"/>
        </w:tabs>
      </w:pPr>
    </w:p>
    <w:p w:rsidR="00076C97" w:rsidRPr="00B71BDE" w:rsidRDefault="00076C97" w:rsidP="00076C97">
      <w:pPr>
        <w:tabs>
          <w:tab w:val="left" w:pos="1080"/>
          <w:tab w:val="left" w:pos="4253"/>
          <w:tab w:val="left" w:pos="6840"/>
        </w:tabs>
      </w:pPr>
    </w:p>
    <w:p w:rsidR="00076C97" w:rsidRPr="00B71BDE" w:rsidRDefault="00076C97" w:rsidP="00076C97">
      <w:pPr>
        <w:pStyle w:val="Normlbehzs"/>
      </w:pPr>
      <w:r w:rsidRPr="00B71BDE">
        <w:t>A nagyvízi medrek, a parti sávok, a vízjárta, valamint a fakadó vizek által veszélyeztetett területek használatáról és hasznosításáról, valamint a nyári gátak által védett területek értékének csökkenésével kapcsolatos eljárásról szóló 21/2006. (I. 31.) Korm. rendelet</w:t>
      </w:r>
    </w:p>
    <w:p w:rsidR="00076C97" w:rsidRPr="00B71BDE" w:rsidRDefault="00076C97" w:rsidP="00076C97">
      <w:pPr>
        <w:tabs>
          <w:tab w:val="left" w:pos="1080"/>
          <w:tab w:val="left" w:pos="4253"/>
          <w:tab w:val="left" w:pos="6840"/>
        </w:tabs>
        <w:jc w:val="both"/>
      </w:pPr>
    </w:p>
    <w:p w:rsidR="00076C97" w:rsidRPr="00B71BDE" w:rsidRDefault="00076C97" w:rsidP="00076C97">
      <w:pPr>
        <w:pStyle w:val="Normlbehzs"/>
      </w:pPr>
      <w:r w:rsidRPr="00B71BDE">
        <w:t>A vizek és a közcélú vízilétesítmények fenntartására vonatkozó feladatokról szóló 120/1999. (VIII. 6.) Korm. rendelet</w:t>
      </w:r>
    </w:p>
    <w:p w:rsidR="00076C97" w:rsidRPr="00B71BDE" w:rsidRDefault="00076C97" w:rsidP="00076C97">
      <w:pPr>
        <w:tabs>
          <w:tab w:val="left" w:pos="1080"/>
          <w:tab w:val="left" w:pos="4253"/>
          <w:tab w:val="left" w:pos="6840"/>
        </w:tabs>
        <w:jc w:val="both"/>
      </w:pPr>
    </w:p>
    <w:p w:rsidR="00076C97" w:rsidRPr="00B71BDE" w:rsidRDefault="00076C97" w:rsidP="00076C97">
      <w:pPr>
        <w:tabs>
          <w:tab w:val="left" w:pos="1080"/>
          <w:tab w:val="left" w:pos="4253"/>
          <w:tab w:val="left" w:pos="6840"/>
        </w:tabs>
      </w:pPr>
    </w:p>
    <w:p w:rsidR="00076C97" w:rsidRPr="00B71BDE" w:rsidRDefault="00076C97" w:rsidP="00076C97">
      <w:pPr>
        <w:tabs>
          <w:tab w:val="left" w:pos="1080"/>
          <w:tab w:val="left" w:pos="4253"/>
          <w:tab w:val="left" w:pos="6840"/>
        </w:tabs>
      </w:pPr>
    </w:p>
    <w:p w:rsidR="00D454E5" w:rsidRDefault="00D454E5">
      <w:bookmarkStart w:id="0" w:name="_GoBack"/>
      <w:bookmarkEnd w:id="0"/>
    </w:p>
    <w:sectPr w:rsidR="00D45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C97"/>
    <w:rsid w:val="00076C97"/>
    <w:rsid w:val="00CA04FA"/>
    <w:rsid w:val="00D4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5BA2-911F-4E54-9A15-39B9A308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6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076C97"/>
    <w:pPr>
      <w:keepNext/>
      <w:jc w:val="center"/>
      <w:outlineLvl w:val="0"/>
    </w:pPr>
    <w:rPr>
      <w:b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76C97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Normlbehzs">
    <w:name w:val="Normal Indent"/>
    <w:basedOn w:val="Norml"/>
    <w:rsid w:val="00076C97"/>
    <w:pPr>
      <w:ind w:left="708"/>
    </w:pPr>
  </w:style>
  <w:style w:type="paragraph" w:styleId="Lbjegyzetszveg">
    <w:name w:val="footnote text"/>
    <w:basedOn w:val="Norml"/>
    <w:link w:val="LbjegyzetszvegChar"/>
    <w:semiHidden/>
    <w:rsid w:val="00076C97"/>
  </w:style>
  <w:style w:type="character" w:customStyle="1" w:styleId="LbjegyzetszvegChar">
    <w:name w:val="Lábjegyzetszöveg Char"/>
    <w:basedOn w:val="Bekezdsalapbettpusa"/>
    <w:link w:val="Lbjegyzetszveg"/>
    <w:semiHidden/>
    <w:rsid w:val="00076C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">
    <w:name w:val="Char"/>
    <w:basedOn w:val="Norml"/>
    <w:rsid w:val="00076C97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2</cp:revision>
  <dcterms:created xsi:type="dcterms:W3CDTF">2020-12-13T14:28:00Z</dcterms:created>
  <dcterms:modified xsi:type="dcterms:W3CDTF">2020-12-13T14:28:00Z</dcterms:modified>
</cp:coreProperties>
</file>