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Mike Község Önkormányzata Képviselő-testületének</w:t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3/2021. (III.11.) önkormányzati rendelete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az önkormányzat 2021. évi költségvetéséről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Szvegtrz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Mike Község Polgármestere a katasztrófavédelemről és a hozzá kapcsolódó egyes törvények módosításáról szóló 2011. évi CXXVIII. törvény 46. § (4) bekezdésben kapott felhatalmazása alapján a 27/2021. (I. 29.) Korm. rendelettel kihirdetett veszélyhelyzetre figyelemmel Mike Községi Önkormányzata Képviselő-testülete feladat- és hatáskörében eljárva, valamint az Alaptörvény 32. cikk (2) bekezdésében meghatározott eredeti jogalkotói hatáskörében, az Alaptörvény 32. cikk (1) bekezdés f) pontjában meghatározott feladatkörében eljárva Mike Községi Önkormányzata 2021. évi költségvetéséről a következőket rendeli el.</w:t>
      </w:r>
    </w:p>
    <w:p>
      <w:pPr>
        <w:pStyle w:val="Szvegtrzs"/>
        <w:spacing w:before="0" w:after="20"/>
        <w:ind w:left="0" w:right="0" w:firstLine="180"/>
        <w:rPr>
          <w:rFonts w:ascii="Times New Roman" w:hAnsi="Times New Roman" w:cs="Times New Roman"/>
          <w:sz w:val="24"/>
          <w:szCs w:val="24"/>
        </w:rPr>
      </w:pPr>
      <w:r>
        <w:rPr/>
        <w:br/>
      </w:r>
    </w:p>
    <w:p>
      <w:pPr>
        <w:pStyle w:val="NoSpacing"/>
        <w:ind w:left="14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I.fejezet</w:t>
      </w:r>
    </w:p>
    <w:p>
      <w:pPr>
        <w:pStyle w:val="NoSpacing"/>
        <w:ind w:left="14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ind w:left="14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ÁLTALÁNOS RENDELKEZÉSEK</w:t>
      </w:r>
    </w:p>
    <w:p>
      <w:pPr>
        <w:pStyle w:val="NoSpacing"/>
        <w:ind w:left="14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§.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rendelet hatálya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rendelet hatálya a képviselő-testületre és annak szerveire terjed ki. </w:t>
      </w:r>
    </w:p>
    <w:p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rendelet meghatározza a kötelező és önként vállalt feladatok ellátásához szükséges bevételeket és kiadásokat, figyelemmel a 2021. évi gazdálkodás főbb szabályaira.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költségvetés címrendje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Mike Község Polgárestere a címrendet az alábbiak szerint állapítja meg.</w:t>
      </w:r>
    </w:p>
    <w:p>
      <w:pPr>
        <w:pStyle w:val="NoSpacing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Mike Község Önkormányzata (továbbikban: Önkormányzat) önálló címet alkot,</w:t>
      </w:r>
    </w:p>
    <w:p>
      <w:pPr>
        <w:pStyle w:val="NoSpacing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Mikei Közös Önkormányzati Hivatal (továbbiakban Hivatal) önálló címet alkot,</w:t>
      </w:r>
    </w:p>
    <w:p>
      <w:pPr>
        <w:pStyle w:val="NoSpacing"/>
        <w:ind w:left="36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 Mikei Mesevár Óvoda (továbbiakban Óvoda) önálló címet alkot,</w:t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II. fejezet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KÖLTSÉGVETÉS BEVÉTELEI ÉS KIADÁSAI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költségvetés bevételei és kiadásai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Mike Község Polgárestere az önkormányzat és költségvetési szerve együttes 2021. évi költségvetését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bookmarkStart w:id="0" w:name="_Hlk2605982"/>
      <w:r>
        <w:rPr>
          <w:rFonts w:cs="Times New Roman" w:ascii="Times New Roman" w:hAnsi="Times New Roman"/>
          <w:b/>
          <w:sz w:val="24"/>
          <w:szCs w:val="24"/>
        </w:rPr>
        <w:t>259.716.005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 xml:space="preserve"> Ft összes költségvetési bevétellel,</w:t>
      </w:r>
    </w:p>
    <w:p>
      <w:pPr>
        <w:pStyle w:val="NoSpacing"/>
        <w:ind w:left="2124" w:hanging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>259.716.005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Ft összes költségvetési kiadással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állapítja meg. 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Ezen belül:  </w:t>
      </w:r>
    </w:p>
    <w:p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a működési célú bevételt</w:t>
        <w:tab/>
        <w:tab/>
        <w:tab/>
        <w:tab/>
        <w:tab/>
        <w:tab/>
        <w:t>124.740.451 Ft-ban</w:t>
      </w:r>
    </w:p>
    <w:p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>felhalmozás célú bevétel</w:t>
      </w:r>
      <w:r>
        <w:rPr>
          <w:rFonts w:cs="Times New Roman" w:ascii="Times New Roman" w:hAnsi="Times New Roman"/>
          <w:color w:val="FF0000"/>
          <w:sz w:val="24"/>
          <w:szCs w:val="24"/>
        </w:rPr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>134.975.554 Ft-ban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előző évi pénzmaradvány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működési</w:t>
        <w:tab/>
        <w:tab/>
        <w:tab/>
        <w:tab/>
        <w:tab/>
        <w:tab/>
        <w:tab/>
        <w:tab/>
        <w:tab/>
        <w:t xml:space="preserve">    6.560.672 Ft-ban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felhalmozási</w:t>
        <w:tab/>
      </w:r>
      <w:r>
        <w:rPr>
          <w:rFonts w:cs="Times New Roman" w:ascii="Times New Roman" w:hAnsi="Times New Roman"/>
          <w:color w:val="FF0000"/>
          <w:sz w:val="24"/>
          <w:szCs w:val="24"/>
        </w:rPr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</w:rPr>
        <w:t xml:space="preserve">       </w:t>
        <w:tab/>
        <w:t xml:space="preserve">  39.689.502 Ft-ban</w:t>
        <w:tab/>
        <w:t xml:space="preserve">     </w:t>
        <w:tab/>
        <w:t xml:space="preserve">  </w:t>
        <w:tab/>
        <w:tab/>
        <w:tab/>
        <w:tab/>
        <w:tab/>
        <w:t xml:space="preserve">  </w:t>
      </w:r>
    </w:p>
    <w:p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működési célú kiadásokat</w:t>
        <w:tab/>
        <w:tab/>
        <w:tab/>
        <w:tab/>
        <w:tab/>
        <w:tab/>
        <w:tab/>
        <w:t xml:space="preserve"> 231.593.159 Ft-ban</w:t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ebből:</w:t>
      </w:r>
    </w:p>
    <w:p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személyi juttatások kiadásait</w:t>
        <w:tab/>
        <w:tab/>
        <w:tab/>
        <w:t xml:space="preserve">         </w:t>
        <w:tab/>
        <w:t>66.738.047 Ft-ban</w:t>
      </w:r>
    </w:p>
    <w:p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munkaadót terhelő járulékokat </w:t>
        <w:tab/>
        <w:tab/>
        <w:tab/>
        <w:tab/>
        <w:t>9.815.085 Ft-ban</w:t>
      </w:r>
    </w:p>
    <w:p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dologi kiadásokat</w:t>
        <w:tab/>
        <w:tab/>
        <w:tab/>
        <w:tab/>
        <w:tab/>
        <w:t>43.850.394</w:t>
      </w:r>
      <w:r>
        <w:rPr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Ft-ban</w:t>
      </w:r>
    </w:p>
    <w:p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az ellátottak pénzbeli juttatásait</w:t>
        <w:tab/>
        <w:tab/>
        <w:tab/>
        <w:tab/>
      </w:r>
      <w:r>
        <w:rPr>
          <w:bCs/>
          <w:sz w:val="24"/>
          <w:szCs w:val="24"/>
        </w:rPr>
        <w:t xml:space="preserve">11.878.000 </w:t>
      </w:r>
      <w:r>
        <w:rPr>
          <w:rFonts w:cs="Times New Roman" w:ascii="Times New Roman" w:hAnsi="Times New Roman"/>
          <w:sz w:val="24"/>
          <w:szCs w:val="24"/>
        </w:rPr>
        <w:t>Ft-ban</w:t>
      </w:r>
    </w:p>
    <w:p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egyéb működési célú kiadásokat</w:t>
        <w:tab/>
        <w:tab/>
        <w:tab/>
        <w:tab/>
      </w:r>
      <w:r>
        <w:rPr>
          <w:bCs/>
          <w:sz w:val="24"/>
          <w:szCs w:val="24"/>
        </w:rPr>
        <w:t xml:space="preserve"> 9.367.103 </w:t>
      </w:r>
      <w:r>
        <w:rPr>
          <w:rFonts w:cs="Times New Roman" w:ascii="Times New Roman" w:hAnsi="Times New Roman"/>
          <w:sz w:val="24"/>
          <w:szCs w:val="24"/>
        </w:rPr>
        <w:t>Ft-ban</w:t>
      </w:r>
    </w:p>
    <w:p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Intézményfinanszírozás</w:t>
        <w:tab/>
        <w:tab/>
        <w:tab/>
        <w:tab/>
        <w:tab/>
        <w:t>89.944.530 Ft-ban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70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felhalmozás célú kiadásokat</w:t>
        <w:tab/>
        <w:tab/>
        <w:tab/>
        <w:tab/>
        <w:t xml:space="preserve">           28.122.846 Ft-ban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állapítja meg.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4"/>
        </w:numPr>
        <w:ind w:left="64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Önkormányzat, a Hivatal és az Óvoda bevételi és kiadási főösszegének mérlegszerű bemutatását az </w:t>
      </w:r>
      <w:r>
        <w:rPr>
          <w:rFonts w:cs="Times New Roman" w:ascii="Times New Roman" w:hAnsi="Times New Roman"/>
          <w:b/>
          <w:bCs/>
          <w:sz w:val="24"/>
          <w:szCs w:val="24"/>
        </w:rPr>
        <w:t>1. sz. melléklet</w:t>
      </w:r>
      <w:r>
        <w:rPr>
          <w:rFonts w:cs="Times New Roman" w:ascii="Times New Roman" w:hAnsi="Times New Roman"/>
          <w:sz w:val="24"/>
          <w:szCs w:val="24"/>
        </w:rPr>
        <w:t xml:space="preserve"> tartalmazza.</w:t>
      </w:r>
    </w:p>
    <w:p>
      <w:pPr>
        <w:pStyle w:val="NoSpacing"/>
        <w:numPr>
          <w:ilvl w:val="0"/>
          <w:numId w:val="4"/>
        </w:numPr>
        <w:ind w:left="64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és a Hivatal bevételeit részletes bontásban kötelező és önként vállalt államigazgatási feladatok szerinti részletezésben a </w:t>
      </w:r>
      <w:r>
        <w:rPr>
          <w:rFonts w:cs="Times New Roman" w:ascii="Times New Roman" w:hAnsi="Times New Roman"/>
          <w:b/>
          <w:bCs/>
          <w:sz w:val="24"/>
          <w:szCs w:val="24"/>
        </w:rPr>
        <w:t>2. sz. melléklet</w:t>
      </w:r>
      <w:r>
        <w:rPr>
          <w:rFonts w:cs="Times New Roman" w:ascii="Times New Roman" w:hAnsi="Times New Roman"/>
          <w:sz w:val="24"/>
          <w:szCs w:val="24"/>
        </w:rPr>
        <w:t xml:space="preserve">, kormányzati funkciók szerinti bontásban a </w:t>
      </w:r>
      <w:r>
        <w:rPr>
          <w:rFonts w:cs="Times New Roman" w:ascii="Times New Roman" w:hAnsi="Times New Roman"/>
          <w:b/>
          <w:bCs/>
          <w:sz w:val="24"/>
          <w:szCs w:val="24"/>
        </w:rPr>
        <w:t>4/a, 5/a</w:t>
      </w:r>
      <w:r>
        <w:rPr>
          <w:rFonts w:cs="Times New Roman" w:ascii="Times New Roman" w:hAnsi="Times New Roman"/>
          <w:sz w:val="24"/>
          <w:szCs w:val="24"/>
        </w:rPr>
        <w:t xml:space="preserve"> ,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5/c </w:t>
      </w:r>
      <w:r>
        <w:rPr>
          <w:rFonts w:cs="Times New Roman" w:ascii="Times New Roman" w:hAnsi="Times New Roman"/>
          <w:sz w:val="24"/>
          <w:szCs w:val="24"/>
        </w:rPr>
        <w:t>mellékletek tartalmazzák.</w:t>
      </w:r>
    </w:p>
    <w:p>
      <w:pPr>
        <w:pStyle w:val="NoSpacing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Óvoda bevételeit részletes bontásban kötelező és önként vállalt államigazgatási feladatok szerinti részletezésben a </w:t>
      </w:r>
      <w:r>
        <w:rPr>
          <w:rFonts w:cs="Times New Roman" w:ascii="Times New Roman" w:hAnsi="Times New Roman"/>
          <w:b/>
          <w:bCs/>
          <w:sz w:val="24"/>
          <w:szCs w:val="24"/>
        </w:rPr>
        <w:t>2. sz. melléklet</w:t>
      </w:r>
      <w:r>
        <w:rPr>
          <w:rFonts w:cs="Times New Roman" w:ascii="Times New Roman" w:hAnsi="Times New Roman"/>
          <w:sz w:val="24"/>
          <w:szCs w:val="24"/>
        </w:rPr>
        <w:t xml:space="preserve">, kormányzati funkciók szerinti bontásban a </w:t>
      </w:r>
      <w:r>
        <w:rPr>
          <w:rFonts w:cs="Times New Roman" w:ascii="Times New Roman" w:hAnsi="Times New Roman"/>
          <w:b/>
          <w:bCs/>
          <w:sz w:val="24"/>
          <w:szCs w:val="24"/>
        </w:rPr>
        <w:t>4/a</w:t>
      </w:r>
      <w:r>
        <w:rPr>
          <w:rFonts w:cs="Times New Roman" w:ascii="Times New Roman" w:hAnsi="Times New Roman"/>
          <w:sz w:val="24"/>
          <w:szCs w:val="24"/>
        </w:rPr>
        <w:t xml:space="preserve"> mellékletek tartalmazzák.</w:t>
      </w:r>
    </w:p>
    <w:p>
      <w:pPr>
        <w:pStyle w:val="NoSpacing"/>
        <w:numPr>
          <w:ilvl w:val="0"/>
          <w:numId w:val="4"/>
        </w:numPr>
        <w:ind w:left="64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a Hivatal és az Óvoda kiadásait elkülönítetten, jogcímenkénti bontásban kötelező, önként vállalt és államigazgatási feladatok szerinti részletezésben a </w:t>
      </w:r>
      <w:r>
        <w:rPr>
          <w:rFonts w:cs="Times New Roman" w:ascii="Times New Roman" w:hAnsi="Times New Roman"/>
          <w:b/>
          <w:bCs/>
          <w:sz w:val="24"/>
          <w:szCs w:val="24"/>
        </w:rPr>
        <w:t>3. sz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b/>
          <w:bCs/>
          <w:sz w:val="24"/>
          <w:szCs w:val="24"/>
        </w:rPr>
        <w:t>melléklet</w:t>
      </w:r>
      <w:r>
        <w:rPr>
          <w:rFonts w:cs="Times New Roman" w:ascii="Times New Roman" w:hAnsi="Times New Roman"/>
          <w:sz w:val="24"/>
          <w:szCs w:val="24"/>
        </w:rPr>
        <w:t xml:space="preserve">, kormányzati funkciók szerint bontásban a </w:t>
      </w:r>
      <w:r>
        <w:rPr>
          <w:rFonts w:cs="Times New Roman" w:ascii="Times New Roman" w:hAnsi="Times New Roman"/>
          <w:b/>
          <w:bCs/>
          <w:sz w:val="24"/>
          <w:szCs w:val="24"/>
        </w:rPr>
        <w:t>4/b, 5/b, 5/d mellékletek</w:t>
      </w:r>
      <w:r>
        <w:rPr>
          <w:rFonts w:cs="Times New Roman" w:ascii="Times New Roman" w:hAnsi="Times New Roman"/>
          <w:sz w:val="24"/>
          <w:szCs w:val="24"/>
        </w:rPr>
        <w:t xml:space="preserve"> tartalmazzák.</w:t>
      </w:r>
    </w:p>
    <w:p>
      <w:pPr>
        <w:pStyle w:val="NoSpacing"/>
        <w:numPr>
          <w:ilvl w:val="0"/>
          <w:numId w:val="4"/>
        </w:numPr>
        <w:ind w:left="64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Óvoda kiadásait elkülönítetten, jogcímenkénti bontásban kötelező, önként vállalt és államigazgatási feladatok szerinti részletezésben a </w:t>
      </w:r>
      <w:r>
        <w:rPr>
          <w:rFonts w:cs="Times New Roman" w:ascii="Times New Roman" w:hAnsi="Times New Roman"/>
          <w:b/>
          <w:bCs/>
          <w:sz w:val="24"/>
          <w:szCs w:val="24"/>
        </w:rPr>
        <w:t>3. sz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b/>
          <w:bCs/>
          <w:sz w:val="24"/>
          <w:szCs w:val="24"/>
        </w:rPr>
        <w:t>melléklet</w:t>
      </w:r>
      <w:r>
        <w:rPr>
          <w:rFonts w:cs="Times New Roman" w:ascii="Times New Roman" w:hAnsi="Times New Roman"/>
          <w:sz w:val="24"/>
          <w:szCs w:val="24"/>
        </w:rPr>
        <w:t xml:space="preserve">, kormányzati funkciók szerint bontásban a </w:t>
      </w:r>
      <w:r>
        <w:rPr>
          <w:rFonts w:cs="Times New Roman" w:ascii="Times New Roman" w:hAnsi="Times New Roman"/>
          <w:b/>
          <w:bCs/>
          <w:sz w:val="24"/>
          <w:szCs w:val="24"/>
        </w:rPr>
        <w:t>4/b mellékletek</w:t>
      </w:r>
      <w:r>
        <w:rPr>
          <w:rFonts w:cs="Times New Roman" w:ascii="Times New Roman" w:hAnsi="Times New Roman"/>
          <w:sz w:val="24"/>
          <w:szCs w:val="24"/>
        </w:rPr>
        <w:t xml:space="preserve"> tartalmazzák.</w:t>
      </w:r>
    </w:p>
    <w:p>
      <w:pPr>
        <w:pStyle w:val="NoSpacing"/>
        <w:numPr>
          <w:ilvl w:val="0"/>
          <w:numId w:val="4"/>
        </w:numPr>
        <w:ind w:left="64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felhalmozási kiadásait részletes bontásban kötelező, önként vállalt és államigazgatási feladatok szerinti részletezésben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6. sz. melléklet </w:t>
      </w:r>
      <w:r>
        <w:rPr>
          <w:rFonts w:cs="Times New Roman" w:ascii="Times New Roman" w:hAnsi="Times New Roman"/>
          <w:sz w:val="24"/>
          <w:szCs w:val="24"/>
        </w:rPr>
        <w:t>tartalmazza.</w:t>
      </w:r>
    </w:p>
    <w:p>
      <w:pPr>
        <w:pStyle w:val="NoSpacing"/>
        <w:numPr>
          <w:ilvl w:val="0"/>
          <w:numId w:val="4"/>
        </w:numPr>
        <w:ind w:left="64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költségvetési tartaléka </w:t>
      </w:r>
      <w:r>
        <w:rPr>
          <w:rFonts w:cs="Times New Roman" w:ascii="Times New Roman" w:hAnsi="Times New Roman"/>
          <w:b/>
          <w:sz w:val="24"/>
          <w:szCs w:val="24"/>
        </w:rPr>
        <w:t>9.367.103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Ft.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Spacing"/>
        <w:numPr>
          <w:ilvl w:val="0"/>
          <w:numId w:val="4"/>
        </w:numPr>
        <w:ind w:left="64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és a Hivatal költségvetési szervének létszámkeretét a </w:t>
      </w:r>
      <w:r>
        <w:rPr>
          <w:rFonts w:cs="Times New Roman" w:ascii="Times New Roman" w:hAnsi="Times New Roman"/>
          <w:b/>
          <w:bCs/>
          <w:sz w:val="24"/>
          <w:szCs w:val="24"/>
        </w:rPr>
        <w:t>7. sz. melléklet</w:t>
      </w:r>
      <w:r>
        <w:rPr>
          <w:rFonts w:cs="Times New Roman" w:ascii="Times New Roman" w:hAnsi="Times New Roman"/>
          <w:sz w:val="24"/>
          <w:szCs w:val="24"/>
        </w:rPr>
        <w:t xml:space="preserve"> tartalmazza</w:t>
      </w:r>
    </w:p>
    <w:p>
      <w:pPr>
        <w:pStyle w:val="NoSpacing"/>
        <w:numPr>
          <w:ilvl w:val="0"/>
          <w:numId w:val="4"/>
        </w:numPr>
        <w:ind w:left="64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Hivatal finanszírozási ütemtervét a </w:t>
      </w:r>
      <w:r>
        <w:rPr>
          <w:rFonts w:cs="Times New Roman" w:ascii="Times New Roman" w:hAnsi="Times New Roman"/>
          <w:b/>
          <w:bCs/>
          <w:sz w:val="24"/>
          <w:szCs w:val="24"/>
        </w:rPr>
        <w:t>8. sz. melléklet</w:t>
      </w:r>
      <w:r>
        <w:rPr>
          <w:rFonts w:cs="Times New Roman" w:ascii="Times New Roman" w:hAnsi="Times New Roman"/>
          <w:sz w:val="24"/>
          <w:szCs w:val="24"/>
        </w:rPr>
        <w:t xml:space="preserve"> tartalmazza</w:t>
      </w:r>
    </w:p>
    <w:p>
      <w:pPr>
        <w:pStyle w:val="NoSpacing"/>
        <w:numPr>
          <w:ilvl w:val="0"/>
          <w:numId w:val="4"/>
        </w:numPr>
        <w:ind w:left="64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adósságot keletkeztető ügyletekből és kezességvállalásokból származó kötelezettségeit és a Magyarország gazdasági stabilitásáról szóló 2011. évi CXCIV. törvény szerinti saját bevételeit a </w:t>
      </w:r>
      <w:r>
        <w:rPr>
          <w:rFonts w:cs="Times New Roman" w:ascii="Times New Roman" w:hAnsi="Times New Roman"/>
          <w:b/>
          <w:bCs/>
          <w:sz w:val="24"/>
          <w:szCs w:val="24"/>
        </w:rPr>
        <w:t>11. melléklet</w:t>
      </w:r>
      <w:r>
        <w:rPr>
          <w:rFonts w:cs="Times New Roman" w:ascii="Times New Roman" w:hAnsi="Times New Roman"/>
          <w:sz w:val="24"/>
          <w:szCs w:val="24"/>
        </w:rPr>
        <w:t xml:space="preserve"> tartalmazza. </w:t>
      </w:r>
    </w:p>
    <w:p>
      <w:pPr>
        <w:pStyle w:val="NoSpacing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bevételi többlet kezelése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gazdálkodási év során keletkezett bevételi többlet felhasználásáról a képviselő-testület annak teljesülését követően esetenként dönt. </w:t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Hivatal a jóváhagyott bevételi előirányzatain felüli többletbevételét az irányító szerv egyidejű tájékoztatásával, a tényleges többletnek megfelelő összegű, saját hatáskörű előirányzat-módosítás után használja fel.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Általános és céltartalék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§.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Mike Község Polgárestere az önkormányzat </w:t>
      </w:r>
      <w:r>
        <w:rPr>
          <w:rFonts w:cs="Times New Roman" w:ascii="Times New Roman" w:hAnsi="Times New Roman"/>
          <w:b/>
          <w:bCs/>
          <w:sz w:val="24"/>
          <w:szCs w:val="24"/>
        </w:rPr>
        <w:t>általános tartalékát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2.000.000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Ft </w:t>
      </w:r>
      <w:r>
        <w:rPr>
          <w:rFonts w:cs="Times New Roman" w:ascii="Times New Roman" w:hAnsi="Times New Roman"/>
          <w:sz w:val="24"/>
          <w:szCs w:val="24"/>
        </w:rPr>
        <w:t>összegben,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céltartalékát 7.367.103 Ft </w:t>
      </w:r>
      <w:r>
        <w:rPr>
          <w:rFonts w:cs="Times New Roman" w:ascii="Times New Roman" w:hAnsi="Times New Roman"/>
          <w:sz w:val="24"/>
          <w:szCs w:val="24"/>
        </w:rPr>
        <w:t>összegben állapítja meg. A céltartalék kizárólag előre nem látható esetekben – belvízmentesítés, viharkár elhárítás stb. – használható fel. A céltartalék felhasználásáról - a képviselő-testület előtti utólagos beszámolási kötelezettséggel – a polgármester dönt.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általános tartalék felhasználásáról a képviselő-testület az erre vonatkozó igény felmerülésekor dönt.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Többéves kihatással járó döntések, európai uniós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programok, projektek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Mike Község Polgárestere többéves kihatással járó feladatról, ill. európai uniós forrásból megvalósuló programok, projektek tárgyában nem döntött.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Előirányzat- felhasználási ütemterv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 költségvetés bevételi és kiadási előirányzatainak felhasználási ütemtervét havi bontásban a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8. sz. melléklet </w:t>
      </w:r>
      <w:r>
        <w:rPr>
          <w:rFonts w:cs="Times New Roman" w:ascii="Times New Roman" w:hAnsi="Times New Roman"/>
          <w:sz w:val="24"/>
          <w:szCs w:val="24"/>
        </w:rPr>
        <w:t xml:space="preserve">tartalmazza. 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Támogatások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§.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Az önkormányzat által adott közvetlen támogatásokat tartalmazó kimutatást e rendelet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9. sz. melléklete </w:t>
      </w:r>
      <w:r>
        <w:rPr>
          <w:rFonts w:cs="Times New Roman" w:ascii="Times New Roman" w:hAnsi="Times New Roman"/>
          <w:sz w:val="24"/>
          <w:szCs w:val="24"/>
        </w:rPr>
        <w:t xml:space="preserve">tartalmazza. </w:t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III. fejezet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 költségvetés végrehajtásának szabályai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§.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BodyTextIndent2"/>
        <w:ind w:left="0" w:hanging="0"/>
        <w:rPr>
          <w:sz w:val="24"/>
          <w:szCs w:val="24"/>
        </w:rPr>
      </w:pPr>
      <w:r>
        <w:rPr>
          <w:sz w:val="24"/>
          <w:szCs w:val="24"/>
        </w:rPr>
        <w:t>(1) A képviselő-testület és szervei szervezeti és működési szabályzatáról szóló önkormányzati rendelet mellékletében átruházott hatáskörökön túl a jóváhagyott kiadási, bevételi és létszám-előirányzatok közötti és a céltartalék terhére történő átcsoportosítás jogát nem ruházza át, azt magának fenntartja.</w:t>
      </w:r>
    </w:p>
    <w:p>
      <w:pPr>
        <w:pStyle w:val="Normal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BodyTextIndent2"/>
        <w:rPr>
          <w:sz w:val="24"/>
          <w:szCs w:val="24"/>
        </w:rPr>
      </w:pPr>
      <w:r>
        <w:rPr>
          <w:sz w:val="24"/>
          <w:szCs w:val="24"/>
        </w:rPr>
        <w:t>(2)Az átruházott hatáskörben hozott döntések a későbbi években a képviselő-testület által jóváhagyottnál nagyobb többletkiadással nem járhatnak.</w:t>
      </w:r>
    </w:p>
    <w:p>
      <w:pPr>
        <w:pStyle w:val="BodyTextIndent2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rPr>
          <w:sz w:val="24"/>
          <w:szCs w:val="24"/>
        </w:rPr>
      </w:pPr>
      <w:r>
        <w:rPr>
          <w:sz w:val="24"/>
          <w:szCs w:val="24"/>
        </w:rPr>
        <w:t>(3)Az átruházott hatáskörben történt átcsoportosításokról az érdekeltek negyedévente negyedévet követő első képviselő-testületi ülésen kötelesek beszámolni. A költségvetési rendelet módosítására a polgármester ezzel egyidejűleg javaslatot tesz.</w:t>
      </w:r>
    </w:p>
    <w:p>
      <w:pPr>
        <w:pStyle w:val="BodyTextIndent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rPr/>
      </w:pPr>
      <w:r>
        <w:rPr>
          <w:sz w:val="24"/>
          <w:szCs w:val="24"/>
        </w:rPr>
        <w:t>(4) Az általános tartalék előirányzaton belül a költségvetési évet tekintve összesen 500.000 Ft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felhasználását a képviselő-testület – a teljesülést követően negyedévenkénti beszámolási kötelezettséggel – a polgármester hatáskörébe utalja.</w:t>
      </w:r>
    </w:p>
    <w:p>
      <w:pPr>
        <w:pStyle w:val="Normal"/>
        <w:ind w:left="36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§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left="0" w:hanging="0"/>
        <w:rPr>
          <w:sz w:val="24"/>
          <w:szCs w:val="24"/>
        </w:rPr>
      </w:pPr>
      <w:r>
        <w:rPr>
          <w:sz w:val="24"/>
          <w:szCs w:val="24"/>
        </w:rPr>
        <w:t>(1) A Hivatal éves költségvetésének végrehajtásáért, a gazdálkodás jogszerűségéért, a takarékosság érvényesítéséért, a bevételek növeléséért az alapfeladatok sérelme nélkül a jegyző a felelős.</w:t>
      </w:r>
    </w:p>
    <w:p>
      <w:pPr>
        <w:pStyle w:val="Normal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Hivatal éves költségvetését a megállapított önkormányzati támogatás és saját bevételei terhére úgy köteles megtervezni, hogy abból biztosított legyen az éves gazdálkodás, illetve kötelezően ellátandó feladatait maradéktalanul teljesíteni tudja. </w:t>
      </w:r>
    </w:p>
    <w:p>
      <w:pPr>
        <w:pStyle w:val="Normal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 §.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3"/>
        <w:ind w:left="0" w:hanging="0"/>
        <w:rPr>
          <w:sz w:val="24"/>
          <w:szCs w:val="24"/>
        </w:rPr>
      </w:pPr>
      <w:r>
        <w:rPr>
          <w:sz w:val="24"/>
          <w:szCs w:val="24"/>
        </w:rPr>
        <w:t>(1) Az év közben engedélyezett központi pótelőirányzatok felosztásáról - ha az érdemi döntést igényel - a testület dönt a polgármester előterjesztésére, szükség esetén a költségvetési rendelet egyidejű módosításával.</w:t>
      </w:r>
    </w:p>
    <w:p>
      <w:pPr>
        <w:pStyle w:val="Normal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left="0" w:hanging="0"/>
        <w:rPr>
          <w:sz w:val="24"/>
          <w:szCs w:val="24"/>
        </w:rPr>
      </w:pPr>
      <w:r>
        <w:rPr>
          <w:sz w:val="24"/>
          <w:szCs w:val="24"/>
        </w:rPr>
        <w:t>(2) Az (1) bekezdésben nem szereplő központi pótelőirányzatok felosztásáról és a Hivatal saját hatáskörben kezdeményezett rendelet módosításáról a képviselő testület az (1) bekezdésben foglalt módon dönt.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költségvetési szerv előirányzat-módosításának szabályai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 §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Az önkormányzat és a költségvetési szerv bevételi és kiadási előirányzatai év közben megváltoztathatók az előirányzat módosításával. Az előirányzatok megváltoztatása e költségvetési rendeletben meghatározottak szerint történik.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360" w:leader="none"/>
          <w:tab w:val="decimal" w:pos="2981" w:leader="none"/>
        </w:tabs>
        <w:ind w:left="360" w:hanging="3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költségvetési szerv saját hatáskörű előirányzat módosítást csak abban az esetben hajthat végre, ha a személyi juttatások és/vagy a munkaadót terhelő járulék előirányzatból dologi kiadásokra csoportosít át. Az átcsoportosítást a képviselő-testület rendelet-módosításban hagyja jóvá. </w:t>
      </w:r>
    </w:p>
    <w:p>
      <w:pPr>
        <w:pStyle w:val="Normal"/>
        <w:tabs>
          <w:tab w:val="clear" w:pos="708"/>
          <w:tab w:val="left" w:pos="170" w:leader="none"/>
          <w:tab w:val="left" w:pos="360" w:leader="none"/>
          <w:tab w:val="left" w:pos="426" w:leader="none"/>
          <w:tab w:val="decimal" w:pos="2981" w:leader="none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A költségvetési szervek a jóváhagyott bevételi előirányzataikon felüli többletbevételeiket a költségvetési rendeletbe történő átvezetése, annak módosítása után használhatják fel.  </w:t>
      </w:r>
    </w:p>
    <w:p>
      <w:pPr>
        <w:pStyle w:val="Normal"/>
        <w:tabs>
          <w:tab w:val="clear" w:pos="708"/>
          <w:tab w:val="decimal" w:pos="283" w:leader="none"/>
          <w:tab w:val="left" w:pos="360" w:leader="none"/>
          <w:tab w:val="left" w:pos="426" w:leader="none"/>
          <w:tab w:val="decimal" w:pos="2981" w:leader="none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zvegtrzsbehzsa"/>
        <w:ind w:left="0" w:hanging="0"/>
        <w:rPr>
          <w:sz w:val="24"/>
          <w:szCs w:val="24"/>
        </w:rPr>
      </w:pPr>
      <w:r>
        <w:rPr>
          <w:sz w:val="24"/>
          <w:szCs w:val="24"/>
        </w:rPr>
        <w:t>(4) A jóváhagyott kiemelt előirányzatokon belül az átcsoportosításról a költségvetési szerv vezetője saját hatáskörben dönt.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(5) A költségvetési szerv a saját hatáskörű előirányzat módosításokról az irányító szervét félévenként tájékoztatja.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(6) Az Államháztartásról szóló 2011. évi CXCV. törvény 34 § (2) bekezdése alapján a képviselő-testület felhatalmazza a polgármestert feladatonként nettó 15 millió forint értékhatárig az önkormányzat bevételeinek és kiadásainak módosítására, és a kiadási előirányzatok közötti átcsoportosításra. A módosítást a költségvetési rendelet módosítása során át kell vezetni.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(7) Év közben az önkormányzat számára meghatározott kötött felhasználású pótelőirányzat felhasználásáról a polgármester dönt. Az előirányzat módosítást a költségvetési rendelet módosításakor át kell vezetni.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Létszám- és bérgazdálkodással kapcsolatos előírások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 §</w:t>
      </w:r>
    </w:p>
    <w:p>
      <w:pPr>
        <w:pStyle w:val="Normal"/>
        <w:jc w:val="both"/>
        <w:rPr>
          <w:b/>
          <w:b/>
          <w:bCs/>
          <w:color w:val="FF00FF"/>
          <w:sz w:val="24"/>
          <w:szCs w:val="24"/>
        </w:rPr>
      </w:pPr>
      <w:r>
        <w:rPr>
          <w:b/>
          <w:bCs/>
          <w:color w:val="FF00FF"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(1) A polgármester önálló létszám- és bérgazdálkodási jogkörében eljárva az engedélyezett létszám (álláshely)-keretet a tényleges foglalkoztatás során köteles betartani.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(2) Az egyes foglalkoztatási formákra (teljes munkaidős, részmunkaidős, valamint a megbízási, tiszteletdíjas foglalkoztatás) álláshelyenként, illetve összességében az elemi költségvetésben tervezett (módosított személyi juttatás) előirányzatot nem lépheti túl.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Támogatási szerződés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15. §.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Az </w:t>
      </w:r>
      <w:r>
        <w:rPr>
          <w:b/>
          <w:bCs/>
          <w:sz w:val="24"/>
          <w:szCs w:val="24"/>
        </w:rPr>
        <w:t xml:space="preserve">államháztartáson kívülre nyújtott </w:t>
      </w:r>
      <w:r>
        <w:rPr>
          <w:sz w:val="24"/>
          <w:szCs w:val="24"/>
        </w:rPr>
        <w:t xml:space="preserve">támogatások esetében a 6/2018. (III.14.) önkormányzati rendel szerint kell eljárni.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16. §.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önállóan működő és gazdálkodó költségvetési szerv költségvetési támogatását a képviselő-testület a költségvetési szervek pénzellátási rendje szerint biztosítja.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Az egyéb szervezetek részére nyújtott támogatások évi két egyenlő részletekben kerüljenek kiutalásra.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Szolgáltatási szerződés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§.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Hivatal szakmai alapfeladat keretében szellemi tevékenység szolgáltatási szerződéssel, számla ellenében történő igénybevételének szabályai: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(1) Az önkormányzat által felügyelt költségvetési szervnél, szakmai alapfeladat keretében szellemi tevékenység végzésére szolgáltatási szerződéssel, számla ellenében külső személy vagy szervezet az e §-ban meghatározott feltételekkel vehető igénybe.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(2) A szolgáltatási szerződést írásban kell megkötni.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(3) A szerződéskötés feltétele, hogy</w:t>
      </w:r>
    </w:p>
    <w:p>
      <w:pPr>
        <w:pStyle w:val="Normal"/>
        <w:ind w:left="709" w:hanging="3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709" w:hanging="334"/>
        <w:jc w:val="both"/>
        <w:rPr>
          <w:sz w:val="24"/>
          <w:szCs w:val="24"/>
        </w:rPr>
      </w:pPr>
      <w:r>
        <w:rPr>
          <w:sz w:val="24"/>
          <w:szCs w:val="24"/>
        </w:rPr>
        <w:t>a.) a költségvetési szerv az adott feladat ellátáshoz megfelelő szakértelemmel rendelkező személyt nem foglalkoztat, vagy</w:t>
      </w:r>
    </w:p>
    <w:p>
      <w:pPr>
        <w:pStyle w:val="Normal"/>
        <w:ind w:left="709" w:hanging="334"/>
        <w:jc w:val="both"/>
        <w:rPr>
          <w:sz w:val="24"/>
          <w:szCs w:val="24"/>
        </w:rPr>
      </w:pPr>
      <w:r>
        <w:rPr>
          <w:sz w:val="24"/>
          <w:szCs w:val="24"/>
        </w:rPr>
        <w:t>b.) eseti, nem rendszeres jellegű feladat ellátása szükséges és a költségvetési szerven belül a feladat ellátásához megfelelő szakértelemmel rendelkező személy átmenetileg nem áll rendelkezésre.</w:t>
      </w:r>
    </w:p>
    <w:p>
      <w:pPr>
        <w:pStyle w:val="Normal"/>
        <w:ind w:left="709" w:hanging="33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Jogszabályban vagy a költségvetési szerv szervezeti és működési szabályzatában meghatározott vezetői feladat ellátására szolgáltatási szerződés nem köthető.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(4) A feladat ellátásának – a fenntartóval egyeztetett - részletes feltételeit, az ellátható feladatokat a költségvetési szerv szervezeti és működési szabályzatban határozza meg.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(5) A szerződésnek tartalmaznia kell különösen:</w:t>
      </w:r>
    </w:p>
    <w:p>
      <w:pPr>
        <w:pStyle w:val="Normal"/>
        <w:ind w:left="375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75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a.) az ellátandó feladatot,</w:t>
      </w:r>
    </w:p>
    <w:p>
      <w:pPr>
        <w:pStyle w:val="Normal"/>
        <w:ind w:left="375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b.) a díjazás mértékét,</w:t>
      </w:r>
    </w:p>
    <w:p>
      <w:pPr>
        <w:pStyle w:val="Normal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c.) részletes utalást arra, hogy a (3) bekezdésben írt feltétel mely körülményre tekintettel áll fenn,</w:t>
      </w:r>
    </w:p>
    <w:p>
      <w:pPr>
        <w:pStyle w:val="Normal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d.) a szerződés időtartamát,</w:t>
      </w:r>
    </w:p>
    <w:p>
      <w:pPr>
        <w:pStyle w:val="Normal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e.) szervezettel kötendő szerződés esetén azt, hogy a szervezet részéről személy szerint ki(k) köteles(ek) a feladat ellátására, valamint,</w:t>
      </w:r>
    </w:p>
    <w:p>
      <w:pPr>
        <w:pStyle w:val="Normal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f.) a teljesítés igazolására felhatalmazott személy megnevezését.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Önkormányzati biztos kirendelése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18. §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Ha a helyi önkormányzati költségvetési szerv 30 napon túli, elismert tartozásállományának mértéke eléri az éves eredeti kiadási előirányzatának 10%-át, vagy egyébként a 150 millió forintot, és e tartozását egy hónapon belül nem tudja 30 nap alá szorítani, akkor </w:t>
      </w:r>
      <w:r>
        <w:rPr>
          <w:color w:val="000000"/>
          <w:sz w:val="24"/>
          <w:szCs w:val="24"/>
        </w:rPr>
        <w:t>a képviselő-testület</w:t>
      </w:r>
      <w:r>
        <w:rPr>
          <w:sz w:val="24"/>
          <w:szCs w:val="24"/>
        </w:rPr>
        <w:t xml:space="preserve"> a költségvetési szervnél </w:t>
      </w:r>
      <w:r>
        <w:rPr>
          <w:color w:val="000000"/>
          <w:sz w:val="24"/>
          <w:szCs w:val="24"/>
        </w:rPr>
        <w:t>az Áht. 71. §. (2) és (3) bekezdésében</w:t>
      </w:r>
      <w:r>
        <w:rPr>
          <w:sz w:val="24"/>
          <w:szCs w:val="24"/>
        </w:rPr>
        <w:t xml:space="preserve"> foglalt hatáskörrel rendelkező önkormányzati biztost jelöl ki. </w:t>
      </w:r>
    </w:p>
    <w:p>
      <w:pPr>
        <w:pStyle w:val="Normal"/>
        <w:ind w:left="3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(2) Az önkormányzati biztos kirendelését az (1) bekezdésben meghatározott mértékű elismert tartozásállomány elérése esetén a képviselő-testületnél a polgármester kezdeményezi.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(3) Ha a polgármester a kötelezettségének nem tesz eleget, a biztos kirendelését indítványozhatja</w:t>
      </w:r>
    </w:p>
    <w:p>
      <w:pPr>
        <w:pStyle w:val="Normal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a) </w:t>
      </w:r>
      <w:r>
        <w:rPr>
          <w:sz w:val="24"/>
          <w:szCs w:val="24"/>
        </w:rPr>
        <w:t>a helyi önkormányzat jegyzője a polgármesteren keresztül,</w:t>
      </w:r>
    </w:p>
    <w:p>
      <w:pPr>
        <w:pStyle w:val="Normal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b) </w:t>
      </w:r>
      <w:r>
        <w:rPr>
          <w:sz w:val="24"/>
          <w:szCs w:val="24"/>
        </w:rPr>
        <w:t>a helyi önkormányzat képviselő-testülete által megbízott könyvvizsgáló,</w:t>
      </w:r>
    </w:p>
    <w:p>
      <w:pPr>
        <w:pStyle w:val="Normal"/>
        <w:ind w:firstLine="204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c) </w:t>
      </w:r>
      <w:r>
        <w:rPr>
          <w:sz w:val="24"/>
          <w:szCs w:val="24"/>
        </w:rPr>
        <w:t>a költségvetési szerv vezetője.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(4) Az önkormányzati biztost a jelölhető személyek, illetve szervezetek közül a képviselő-testület döntése alapján a polgármester bízza meg, és ennek tényét a helyben szokásos módon teszi közzé.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(5) Amennyiben az önkormányzatnál időközben adósságrendezési eljárást kezdeményeztek az általa fenntartott költségvetési szervek körében, az önkormányzati biztos további tevékenységére az alábbi szabályok alkalmazandók:</w:t>
      </w:r>
    </w:p>
    <w:p>
      <w:pPr>
        <w:pStyle w:val="Szvegtrzsbehzsa"/>
        <w:ind w:left="0" w:firstLine="426"/>
        <w:rPr>
          <w:sz w:val="24"/>
          <w:szCs w:val="24"/>
        </w:rPr>
      </w:pPr>
      <w:r>
        <w:rPr>
          <w:sz w:val="24"/>
          <w:szCs w:val="24"/>
        </w:rPr>
        <w:t>a.) az önkormányzati biztos tevékenységéről a képviselő-testületnek havonta köteles beszámolni,</w:t>
      </w:r>
    </w:p>
    <w:p>
      <w:pPr>
        <w:pStyle w:val="Szvegtrzsbehzsa"/>
        <w:ind w:left="0" w:firstLine="426"/>
        <w:rPr>
          <w:sz w:val="24"/>
          <w:szCs w:val="24"/>
        </w:rPr>
      </w:pPr>
      <w:r>
        <w:rPr>
          <w:sz w:val="24"/>
          <w:szCs w:val="24"/>
        </w:rPr>
        <w:t>b.) az önkormányzati biztos haladéktalanul köteles tájékoztatni a polgármestert, ha a költségvetési szervvel szemben adósságrendezési eljárást kezdeményeztek.  </w:t>
      </w:r>
    </w:p>
    <w:p>
      <w:pPr>
        <w:pStyle w:val="Szvegtrzsbehzsa"/>
        <w:ind w:left="0" w:firstLine="42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Pótköltségvetés, költségvetés módosítása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19. §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(1) A költségvetés várható egyenlegének a költségvetés kiadási főösszegének 10 %-át meghaladó mértékű eltérése esetén a költségvetési rendeletet módosítani kell.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(2) A költségvetés várható egyenlegének a költségvetés kiadási főösszegének 30 %-át meghaladó mértékű eltérése esetén pótköltségvetési rendeletet kell elfogadni. A pótköltségvetési rendeletnek újból meg kell állapítania a költségvetési rendeletnek az előirányzatok meghatározására vonatkozó rendelkezéseit.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Záró és egyéb rendelkezések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20. §.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(1) A képviselő-testület a polgármesternek e rendelet elfogadásáig az átmeneti időszakban tett intézkedéseiről (bevételek beszedése, az előző évi kiadási előirányzatokon belül a kiadások arányos teljesítése) szóló beszámolóját elfogadja. Az átmeneti időszakban beszedett bevételek és teljesített kiadások e rendeletbe beépítésre kerültek.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Ez a rendelet a kihirdetését követő napon lép hatályba.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tabs>
          <w:tab w:val="clear" w:pos="2268"/>
        </w:tabs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Mike, 2021. március 11.</w:t>
      </w:r>
    </w:p>
    <w:p>
      <w:pPr>
        <w:pStyle w:val="BodyText3"/>
        <w:tabs>
          <w:tab w:val="clear" w:pos="2268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tabs>
          <w:tab w:val="clear" w:pos="2268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tabs>
          <w:tab w:val="clear" w:pos="2268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tabs>
          <w:tab w:val="clear" w:pos="2268"/>
        </w:tabs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Tóth Árpád</w:t>
        <w:tab/>
        <w:tab/>
        <w:tab/>
        <w:tab/>
        <w:tab/>
        <w:tab/>
        <w:tab/>
        <w:t xml:space="preserve">     Dr. Barka Tamás </w:t>
      </w:r>
    </w:p>
    <w:p>
      <w:pPr>
        <w:pStyle w:val="BodyText3"/>
        <w:tabs>
          <w:tab w:val="clear" w:pos="2268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polgármester</w:t>
        <w:tab/>
        <w:t xml:space="preserve">                                                        </w:t>
        <w:tab/>
        <w:t xml:space="preserve">              jegyző</w:t>
        <w:tab/>
      </w:r>
    </w:p>
    <w:p>
      <w:pPr>
        <w:pStyle w:val="BodyText3"/>
        <w:tabs>
          <w:tab w:val="clear" w:pos="2268"/>
        </w:tabs>
        <w:ind w:left="1418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tabs>
          <w:tab w:val="clear" w:pos="2268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tabs>
          <w:tab w:val="clear" w:pos="2268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tabs>
          <w:tab w:val="clear" w:pos="2268"/>
        </w:tabs>
        <w:rPr>
          <w:sz w:val="24"/>
          <w:szCs w:val="24"/>
        </w:rPr>
      </w:pPr>
      <w:r>
        <w:rPr>
          <w:sz w:val="24"/>
          <w:szCs w:val="24"/>
        </w:rPr>
        <w:t>Kihirdetési záradék: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1" w:name="_GoBack"/>
      <w:bookmarkStart w:id="2" w:name="_GoBack"/>
      <w:bookmarkEnd w:id="2"/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 rendelet kihirdetve: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2021. március 11 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Dr. Barka Tamás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jegyző</w:t>
      </w:r>
    </w:p>
    <w:p>
      <w:pPr>
        <w:pStyle w:val="NoSpacing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Llb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lvl w:ilvl="0">
      <w:start w:val="17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1" w:uiPriority="0" w:semiHidden="1" w:unhideWhenUsed="1"/>
    <w:lsdException w:name="Table Grid" w:locked="1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54e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hu-HU" w:eastAsia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zvegtrzsbehzssalChar" w:customStyle="1">
    <w:name w:val="Szövegtörzs behúzással Char"/>
    <w:link w:val="Szvegtrzsbehzssal"/>
    <w:uiPriority w:val="99"/>
    <w:qFormat/>
    <w:locked/>
    <w:rsid w:val="004f54ef"/>
    <w:rPr>
      <w:rFonts w:ascii="Times New Roman" w:hAnsi="Times New Roman" w:cs="Times New Roman"/>
      <w:sz w:val="20"/>
      <w:szCs w:val="20"/>
      <w:lang w:eastAsia="hu-HU"/>
    </w:rPr>
  </w:style>
  <w:style w:type="character" w:styleId="Szvegtrzsbehzssal2Char" w:customStyle="1">
    <w:name w:val="Szövegtörzs behúzással 2 Char"/>
    <w:link w:val="Szvegtrzsbehzssal2"/>
    <w:uiPriority w:val="99"/>
    <w:qFormat/>
    <w:locked/>
    <w:rsid w:val="004f54ef"/>
    <w:rPr>
      <w:rFonts w:ascii="Times New Roman" w:hAnsi="Times New Roman" w:cs="Times New Roman"/>
      <w:sz w:val="20"/>
      <w:szCs w:val="20"/>
      <w:lang w:eastAsia="hu-HU"/>
    </w:rPr>
  </w:style>
  <w:style w:type="character" w:styleId="Szvegtrzsbehzssal3Char" w:customStyle="1">
    <w:name w:val="Szövegtörzs behúzással 3 Char"/>
    <w:link w:val="Szvegtrzsbehzssal3"/>
    <w:uiPriority w:val="99"/>
    <w:qFormat/>
    <w:locked/>
    <w:rsid w:val="004f54ef"/>
    <w:rPr>
      <w:rFonts w:ascii="Times New Roman" w:hAnsi="Times New Roman" w:cs="Times New Roman"/>
      <w:sz w:val="20"/>
      <w:szCs w:val="20"/>
      <w:lang w:eastAsia="hu-HU"/>
    </w:rPr>
  </w:style>
  <w:style w:type="character" w:styleId="Szvegtrzs3Char" w:customStyle="1">
    <w:name w:val="Szövegtörzs 3 Char"/>
    <w:link w:val="Szvegtrzs3"/>
    <w:uiPriority w:val="99"/>
    <w:qFormat/>
    <w:locked/>
    <w:rsid w:val="004f54ef"/>
    <w:rPr>
      <w:rFonts w:ascii="Times New Roman" w:hAnsi="Times New Roman" w:cs="Times New Roman"/>
      <w:b/>
      <w:bCs/>
      <w:sz w:val="20"/>
      <w:szCs w:val="20"/>
      <w:lang w:eastAsia="hu-HU"/>
    </w:rPr>
  </w:style>
  <w:style w:type="character" w:styleId="BuborkszvegChar" w:customStyle="1">
    <w:name w:val="Buborékszöveg Char"/>
    <w:link w:val="Buborkszveg"/>
    <w:uiPriority w:val="99"/>
    <w:semiHidden/>
    <w:qFormat/>
    <w:locked/>
    <w:rsid w:val="004f54ef"/>
    <w:rPr>
      <w:rFonts w:ascii="Tahoma" w:hAnsi="Tahoma" w:cs="Tahoma"/>
      <w:sz w:val="16"/>
      <w:szCs w:val="16"/>
      <w:lang w:eastAsia="hu-HU"/>
    </w:rPr>
  </w:style>
  <w:style w:type="character" w:styleId="LfejChar" w:customStyle="1">
    <w:name w:val="Élőfej Char"/>
    <w:uiPriority w:val="99"/>
    <w:semiHidden/>
    <w:qFormat/>
    <w:rsid w:val="009735fe"/>
    <w:rPr>
      <w:rFonts w:ascii="Times New Roman" w:hAnsi="Times New Roman" w:eastAsia="Times New Roman"/>
    </w:rPr>
  </w:style>
  <w:style w:type="character" w:styleId="LlbChar" w:customStyle="1">
    <w:name w:val="Élőláb Char"/>
    <w:uiPriority w:val="99"/>
    <w:qFormat/>
    <w:rsid w:val="009735fe"/>
    <w:rPr>
      <w:rFonts w:ascii="Times New Roman" w:hAnsi="Times New Roman" w:eastAsia="Times New Roman"/>
    </w:rPr>
  </w:style>
  <w:style w:type="paragraph" w:styleId="Cmsor" w:customStyle="1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zvegtrzs"/>
    <w:pPr/>
    <w:rPr>
      <w:rFonts w:cs="Mang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 w:customStyle="1">
    <w:name w:val="Tárgymutató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cf100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hu-HU" w:eastAsia="en-US" w:bidi="ar-SA"/>
    </w:rPr>
  </w:style>
  <w:style w:type="paragraph" w:styleId="Szvegtrzsbehzsa">
    <w:name w:val="Body Text Indent"/>
    <w:basedOn w:val="Normal"/>
    <w:link w:val="SzvegtrzsbehzssalChar"/>
    <w:uiPriority w:val="99"/>
    <w:rsid w:val="004f54ef"/>
    <w:pPr>
      <w:ind w:left="709" w:hanging="567"/>
      <w:jc w:val="both"/>
    </w:pPr>
    <w:rPr>
      <w:rFonts w:eastAsia="Calibri"/>
    </w:rPr>
  </w:style>
  <w:style w:type="paragraph" w:styleId="BodyTextIndent2">
    <w:name w:val="Body Text Indent 2"/>
    <w:basedOn w:val="Normal"/>
    <w:link w:val="Szvegtrzsbehzssal2Char"/>
    <w:uiPriority w:val="99"/>
    <w:qFormat/>
    <w:rsid w:val="004f54ef"/>
    <w:pPr>
      <w:ind w:left="426" w:hanging="426"/>
      <w:jc w:val="both"/>
    </w:pPr>
    <w:rPr>
      <w:rFonts w:eastAsia="Calibri"/>
    </w:rPr>
  </w:style>
  <w:style w:type="paragraph" w:styleId="BodyTextIndent3">
    <w:name w:val="Body Text Indent 3"/>
    <w:basedOn w:val="Normal"/>
    <w:link w:val="Szvegtrzsbehzssal3Char"/>
    <w:uiPriority w:val="99"/>
    <w:qFormat/>
    <w:rsid w:val="004f54ef"/>
    <w:pPr>
      <w:ind w:left="142" w:hanging="142"/>
      <w:jc w:val="both"/>
    </w:pPr>
    <w:rPr>
      <w:rFonts w:eastAsia="Calibri"/>
    </w:rPr>
  </w:style>
  <w:style w:type="paragraph" w:styleId="BodyText3">
    <w:name w:val="Body Text 3"/>
    <w:basedOn w:val="Normal"/>
    <w:link w:val="Szvegtrzs3Char"/>
    <w:uiPriority w:val="99"/>
    <w:qFormat/>
    <w:rsid w:val="004f54ef"/>
    <w:pPr>
      <w:tabs>
        <w:tab w:val="clear" w:pos="708"/>
        <w:tab w:val="left" w:pos="2268" w:leader="none"/>
      </w:tabs>
      <w:jc w:val="both"/>
    </w:pPr>
    <w:rPr>
      <w:rFonts w:eastAsia="Calibri"/>
      <w:b/>
      <w:bCs/>
    </w:rPr>
  </w:style>
  <w:style w:type="paragraph" w:styleId="ListParagraph">
    <w:name w:val="List Paragraph"/>
    <w:basedOn w:val="Normal"/>
    <w:uiPriority w:val="99"/>
    <w:qFormat/>
    <w:rsid w:val="004f54ef"/>
    <w:pPr>
      <w:ind w:left="720" w:hanging="0"/>
    </w:pPr>
    <w:rPr/>
  </w:style>
  <w:style w:type="paragraph" w:styleId="BalloonText">
    <w:name w:val="Balloon Text"/>
    <w:basedOn w:val="Normal"/>
    <w:link w:val="BuborkszvegChar"/>
    <w:uiPriority w:val="99"/>
    <w:semiHidden/>
    <w:qFormat/>
    <w:rsid w:val="004f54ef"/>
    <w:pPr/>
    <w:rPr>
      <w:rFonts w:ascii="Tahoma" w:hAnsi="Tahoma" w:eastAsia="Calibri"/>
      <w:sz w:val="16"/>
      <w:szCs w:val="16"/>
    </w:rPr>
  </w:style>
  <w:style w:type="paragraph" w:styleId="Lfejsllb">
    <w:name w:val="Élőfej és élőláb"/>
    <w:basedOn w:val="Normal"/>
    <w:qFormat/>
    <w:pPr/>
    <w:rPr/>
  </w:style>
  <w:style w:type="paragraph" w:styleId="Lfej">
    <w:name w:val="Header"/>
    <w:basedOn w:val="Normal"/>
    <w:uiPriority w:val="99"/>
    <w:semiHidden/>
    <w:unhideWhenUsed/>
    <w:rsid w:val="009735f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lb">
    <w:name w:val="Footer"/>
    <w:basedOn w:val="Normal"/>
    <w:uiPriority w:val="99"/>
    <w:unhideWhenUsed/>
    <w:rsid w:val="009735fe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LibreOffice/7.0.3.1$Windows_X86_64 LibreOffice_project/d7547858d014d4cf69878db179d326fc3483e082</Application>
  <Pages>8</Pages>
  <Words>1714</Words>
  <Characters>12374</Characters>
  <CharactersWithSpaces>14166</CharactersWithSpaces>
  <Paragraphs>149</Paragraphs>
  <Company>Csokonyavisonta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2021-03-09T14:51:00Z</dcterms:created>
  <dc:creator>Körjegyzőség</dc:creator>
  <dc:description/>
  <dc:language>hu-HU</dc:language>
  <cp:lastModifiedBy/>
  <cp:lastPrinted>2021-03-11T15:12:10Z</cp:lastPrinted>
  <dcterms:modified xsi:type="dcterms:W3CDTF">2021-03-11T15:22:41Z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Csokonyavisonta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