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59" w:rsidRPr="0062002D" w:rsidRDefault="00983F59" w:rsidP="00983F59">
      <w:pPr>
        <w:jc w:val="right"/>
      </w:pPr>
      <w:r>
        <w:t>4. melléklet a 19/2015. (X. 15.</w:t>
      </w:r>
      <w:r w:rsidRPr="0062002D">
        <w:t>) önkormányzati rendelethez</w:t>
      </w:r>
    </w:p>
    <w:p w:rsidR="00983F59" w:rsidRPr="0062002D" w:rsidRDefault="00983F59" w:rsidP="00983F59">
      <w:pPr>
        <w:jc w:val="right"/>
      </w:pPr>
      <w:r w:rsidRPr="0062002D">
        <w:t>„7. melléklet a 7/2013. (II. 14.</w:t>
      </w:r>
      <w:proofErr w:type="gramStart"/>
      <w:r w:rsidRPr="0062002D">
        <w:t>)  önkormányzati</w:t>
      </w:r>
      <w:proofErr w:type="gramEnd"/>
      <w:r w:rsidRPr="0062002D">
        <w:t xml:space="preserve"> rendelethez</w:t>
      </w:r>
    </w:p>
    <w:p w:rsidR="00983F59" w:rsidRPr="0062002D" w:rsidRDefault="00983F59" w:rsidP="00983F59">
      <w:pPr>
        <w:pStyle w:val="Cmsor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2002D">
        <w:rPr>
          <w:rFonts w:ascii="Times New Roman" w:hAnsi="Times New Roman"/>
          <w:sz w:val="24"/>
          <w:szCs w:val="24"/>
        </w:rPr>
        <w:t>JÁSZBERÉNY VÁROSI ÖNKORMÁNYZAT KÉPVISELŐ-TESTÜLETE</w:t>
      </w:r>
    </w:p>
    <w:p w:rsidR="00983F59" w:rsidRPr="0062002D" w:rsidRDefault="00983F59" w:rsidP="00983F59">
      <w:pPr>
        <w:pStyle w:val="lfej"/>
        <w:jc w:val="center"/>
        <w:rPr>
          <w:spacing w:val="40"/>
          <w:sz w:val="24"/>
          <w:szCs w:val="24"/>
        </w:rPr>
      </w:pPr>
    </w:p>
    <w:p w:rsidR="00983F59" w:rsidRPr="0062002D" w:rsidRDefault="00983F59" w:rsidP="00983F59">
      <w:pPr>
        <w:jc w:val="center"/>
        <w:rPr>
          <w:spacing w:val="40"/>
        </w:rPr>
      </w:pPr>
      <w:r w:rsidRPr="0062002D">
        <w:rPr>
          <w:spacing w:val="40"/>
        </w:rPr>
        <w:t>ELŐZETES HATÁSVIZSGÁLATI LAP</w:t>
      </w:r>
    </w:p>
    <w:p w:rsidR="00983F59" w:rsidRPr="0062002D" w:rsidRDefault="00983F59" w:rsidP="00983F59">
      <w:pPr>
        <w:jc w:val="center"/>
        <w:rPr>
          <w:spacing w:val="40"/>
        </w:rPr>
      </w:pPr>
      <w:r>
        <w:rPr>
          <w:noProof/>
        </w:rPr>
        <w:drawing>
          <wp:inline distT="0" distB="0" distL="0" distR="0">
            <wp:extent cx="1057275" cy="1333500"/>
            <wp:effectExtent l="0" t="0" r="9525" b="0"/>
            <wp:docPr id="1" name="Kép 1" descr="cimerkicsi_sz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kicsi_szi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F59" w:rsidRPr="0062002D" w:rsidRDefault="00983F59" w:rsidP="00983F59">
      <w:pPr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83F59" w:rsidRPr="0062002D" w:rsidTr="00D76BEF">
        <w:tc>
          <w:tcPr>
            <w:tcW w:w="9212" w:type="dxa"/>
            <w:gridSpan w:val="2"/>
            <w:shd w:val="clear" w:color="auto" w:fill="999999"/>
          </w:tcPr>
          <w:p w:rsidR="00983F59" w:rsidRPr="0062002D" w:rsidRDefault="00983F59" w:rsidP="00D76BEF">
            <w:pPr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Az önkormányzati rendelet megalkotásának szükségessége, elmaradásának várható következménye:</w:t>
            </w:r>
          </w:p>
        </w:tc>
      </w:tr>
      <w:tr w:rsidR="00983F59" w:rsidRPr="0062002D" w:rsidTr="00D76BEF">
        <w:trPr>
          <w:trHeight w:val="1981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Cs/>
              </w:rPr>
            </w:pPr>
          </w:p>
        </w:tc>
      </w:tr>
      <w:tr w:rsidR="00983F59" w:rsidRPr="0062002D" w:rsidTr="00D76BEF">
        <w:tc>
          <w:tcPr>
            <w:tcW w:w="9212" w:type="dxa"/>
            <w:gridSpan w:val="2"/>
            <w:shd w:val="clear" w:color="auto" w:fill="8C8C8C"/>
          </w:tcPr>
          <w:p w:rsidR="00983F59" w:rsidRPr="0062002D" w:rsidRDefault="00983F59" w:rsidP="00D76BEF">
            <w:pPr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Az önkormányzati rendelet hatásai:</w:t>
            </w:r>
          </w:p>
        </w:tc>
      </w:tr>
      <w:tr w:rsidR="00983F59" w:rsidRPr="0062002D" w:rsidTr="00D76BEF">
        <w:trPr>
          <w:trHeight w:val="615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Társadalmi hatások: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rPr>
          <w:trHeight w:val="526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Gazdasági hatások: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rPr>
          <w:trHeight w:val="520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Költségvetési hatások: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rPr>
          <w:trHeight w:val="541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Környezeti következmények: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rPr>
          <w:trHeight w:val="521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Egészségügyi következmények: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rPr>
          <w:trHeight w:val="543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Adminisztratív terheket befolyásoló hatások: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c>
          <w:tcPr>
            <w:tcW w:w="9212" w:type="dxa"/>
            <w:gridSpan w:val="2"/>
            <w:shd w:val="clear" w:color="auto" w:fill="8C8C8C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  <w:r w:rsidRPr="0062002D">
              <w:rPr>
                <w:b/>
                <w:bCs/>
                <w:iCs/>
              </w:rPr>
              <w:t>Az önkormányzati rendelet alkalmazásához szükséges feltételek:</w:t>
            </w:r>
          </w:p>
        </w:tc>
      </w:tr>
      <w:tr w:rsidR="00983F59" w:rsidRPr="0062002D" w:rsidTr="00D76BEF">
        <w:trPr>
          <w:trHeight w:val="604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Személyi feltételek: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rPr>
          <w:trHeight w:val="528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Szervezeti feltételek: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rPr>
          <w:trHeight w:val="522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Tárgyi feltételek: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983F59" w:rsidRPr="0062002D" w:rsidTr="00D76BEF">
        <w:trPr>
          <w:trHeight w:val="530"/>
        </w:trPr>
        <w:tc>
          <w:tcPr>
            <w:tcW w:w="4606" w:type="dxa"/>
            <w:shd w:val="clear" w:color="auto" w:fill="C0C0C0"/>
          </w:tcPr>
          <w:p w:rsidR="00983F59" w:rsidRPr="0062002D" w:rsidRDefault="00983F59" w:rsidP="00D76BEF">
            <w:pPr>
              <w:jc w:val="right"/>
              <w:rPr>
                <w:bCs/>
                <w:iCs/>
                <w:u w:val="single"/>
              </w:rPr>
            </w:pPr>
            <w:r w:rsidRPr="0062002D">
              <w:rPr>
                <w:bCs/>
                <w:iCs/>
              </w:rPr>
              <w:t>Pénzügyi feltételek:</w:t>
            </w:r>
          </w:p>
        </w:tc>
        <w:tc>
          <w:tcPr>
            <w:tcW w:w="4606" w:type="dxa"/>
            <w:shd w:val="clear" w:color="auto" w:fill="auto"/>
          </w:tcPr>
          <w:p w:rsidR="00983F59" w:rsidRPr="0062002D" w:rsidRDefault="00983F59" w:rsidP="00D76BEF">
            <w:pPr>
              <w:rPr>
                <w:b/>
                <w:bCs/>
                <w:i/>
                <w:iCs/>
                <w:u w:val="single"/>
              </w:rPr>
            </w:pPr>
          </w:p>
        </w:tc>
      </w:tr>
    </w:tbl>
    <w:p w:rsidR="00983F59" w:rsidRPr="0062002D" w:rsidRDefault="00983F59" w:rsidP="00983F59">
      <w:pPr>
        <w:rPr>
          <w:b/>
        </w:rPr>
      </w:pPr>
      <w:r w:rsidRPr="0062002D">
        <w:rPr>
          <w:b/>
        </w:rPr>
        <w:t>„</w:t>
      </w:r>
    </w:p>
    <w:p w:rsidR="00D2015A" w:rsidRDefault="00D2015A" w:rsidP="00983F59">
      <w:bookmarkStart w:id="0" w:name="_GoBack"/>
      <w:bookmarkEnd w:id="0"/>
    </w:p>
    <w:sectPr w:rsidR="00D2015A" w:rsidSect="00983F59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59"/>
    <w:rsid w:val="008F17A4"/>
    <w:rsid w:val="00983F59"/>
    <w:rsid w:val="00D2015A"/>
    <w:rsid w:val="00D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3F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3F5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983F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83F5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F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5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3F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3F5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983F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83F5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F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5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2015-10-15T08:02:00Z</dcterms:created>
  <dcterms:modified xsi:type="dcterms:W3CDTF">2015-10-15T08:03:00Z</dcterms:modified>
</cp:coreProperties>
</file>