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6B456" w14:textId="77777777" w:rsidR="002862DE" w:rsidRPr="002862DE" w:rsidRDefault="002862DE" w:rsidP="002862DE">
      <w:pPr>
        <w:keepLines w:val="0"/>
        <w:jc w:val="right"/>
        <w:rPr>
          <w:rFonts w:ascii="Book Antiqua" w:eastAsia="Calibri" w:hAnsi="Book Antiqua"/>
          <w:i/>
          <w:sz w:val="22"/>
          <w:szCs w:val="22"/>
          <w:u w:val="single"/>
          <w:lang w:val="hu-HU" w:eastAsia="en-US"/>
        </w:rPr>
      </w:pPr>
      <w:r w:rsidRPr="002862DE">
        <w:rPr>
          <w:rFonts w:ascii="Book Antiqua" w:eastAsia="Calibri" w:hAnsi="Book Antiqua"/>
          <w:i/>
          <w:sz w:val="22"/>
          <w:szCs w:val="22"/>
          <w:u w:val="single"/>
          <w:lang w:val="hu-HU" w:eastAsia="en-US"/>
        </w:rPr>
        <w:t>2. melléklet</w:t>
      </w:r>
    </w:p>
    <w:p w14:paraId="7C013456" w14:textId="77777777" w:rsidR="002862DE" w:rsidRPr="002862DE" w:rsidRDefault="002862DE" w:rsidP="002862DE">
      <w:pPr>
        <w:keepLines w:val="0"/>
        <w:jc w:val="center"/>
        <w:rPr>
          <w:rFonts w:ascii="Book Antiqua" w:eastAsia="Calibri" w:hAnsi="Book Antiqua"/>
          <w:b/>
          <w:sz w:val="22"/>
          <w:szCs w:val="22"/>
          <w:lang w:val="hu-HU" w:eastAsia="en-US"/>
        </w:rPr>
      </w:pPr>
    </w:p>
    <w:p w14:paraId="5541B310" w14:textId="77777777" w:rsidR="002862DE" w:rsidRPr="002862DE" w:rsidRDefault="002862DE" w:rsidP="002862DE">
      <w:pPr>
        <w:keepLines w:val="0"/>
        <w:jc w:val="center"/>
        <w:rPr>
          <w:rFonts w:ascii="Book Antiqua" w:eastAsia="Calibri" w:hAnsi="Book Antiqua"/>
          <w:b/>
          <w:sz w:val="22"/>
          <w:szCs w:val="22"/>
          <w:lang w:val="hu-HU" w:eastAsia="en-US"/>
        </w:rPr>
      </w:pPr>
      <w:r w:rsidRPr="002862DE">
        <w:rPr>
          <w:rFonts w:ascii="Book Antiqua" w:eastAsia="Calibri" w:hAnsi="Book Antiqua"/>
          <w:b/>
          <w:sz w:val="22"/>
          <w:szCs w:val="22"/>
          <w:lang w:val="hu-HU" w:eastAsia="en-US"/>
        </w:rPr>
        <w:t>A Közterületek használatáról szóló 10/2013.(VII.12.) önkormányzati rendelethez</w:t>
      </w:r>
    </w:p>
    <w:p w14:paraId="547F5556" w14:textId="77777777" w:rsidR="002862DE" w:rsidRPr="002862DE" w:rsidRDefault="002862DE" w:rsidP="002862DE">
      <w:pPr>
        <w:keepLines w:val="0"/>
        <w:jc w:val="center"/>
        <w:rPr>
          <w:rFonts w:ascii="Book Antiqua" w:eastAsia="Calibri" w:hAnsi="Book Antiqua"/>
          <w:b/>
          <w:sz w:val="22"/>
          <w:szCs w:val="22"/>
          <w:lang w:val="hu-HU" w:eastAsia="en-US"/>
        </w:rPr>
      </w:pPr>
    </w:p>
    <w:p w14:paraId="33F9ACFE" w14:textId="77777777" w:rsidR="002862DE" w:rsidRPr="002862DE" w:rsidRDefault="002862DE" w:rsidP="002862DE">
      <w:pPr>
        <w:keepLines w:val="0"/>
        <w:jc w:val="center"/>
        <w:rPr>
          <w:rFonts w:ascii="Book Antiqua" w:eastAsia="Calibri" w:hAnsi="Book Antiqua"/>
          <w:b/>
          <w:sz w:val="22"/>
          <w:szCs w:val="22"/>
          <w:lang w:val="hu-HU" w:eastAsia="en-US"/>
        </w:rPr>
      </w:pPr>
      <w:r w:rsidRPr="002862DE">
        <w:rPr>
          <w:rFonts w:ascii="Book Antiqua" w:eastAsia="Calibri" w:hAnsi="Book Antiqua"/>
          <w:b/>
          <w:sz w:val="22"/>
          <w:szCs w:val="22"/>
          <w:lang w:val="hu-HU" w:eastAsia="en-US"/>
        </w:rPr>
        <w:t>Közterület-használati díjak mértéke</w:t>
      </w:r>
    </w:p>
    <w:p w14:paraId="0C6E6392" w14:textId="77777777" w:rsidR="002862DE" w:rsidRPr="002862DE" w:rsidRDefault="002862DE" w:rsidP="002862DE">
      <w:pPr>
        <w:keepLines w:val="0"/>
        <w:jc w:val="center"/>
        <w:rPr>
          <w:rFonts w:ascii="Book Antiqua" w:eastAsia="Calibri" w:hAnsi="Book Antiqua"/>
          <w:b/>
          <w:sz w:val="22"/>
          <w:szCs w:val="22"/>
          <w:lang w:val="hu-HU"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5342"/>
        <w:gridCol w:w="12"/>
        <w:gridCol w:w="2607"/>
      </w:tblGrid>
      <w:tr w:rsidR="002862DE" w:rsidRPr="002862DE" w14:paraId="5A4ED3D4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1EE7C9C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1.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352F125D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A közterületbe 10 cm-en túl benyúló üzlethomlokzat (portál), kirakatszekrény, üzleti védőtető (előtető), ernyőszerkezet, hirdető berendezés (fényreklám), cég és címtábla m</w:t>
            </w:r>
            <w:r w:rsidRPr="002862DE">
              <w:rPr>
                <w:rFonts w:ascii="Book Antiqua" w:eastAsia="Calibri" w:hAnsi="Book Antiqua"/>
                <w:position w:val="6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-</w:t>
            </w:r>
            <w:proofErr w:type="spellStart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enkénti</w:t>
            </w:r>
            <w:proofErr w:type="spellEnd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díj tényleges felületre vonatkozik)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03B46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br/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br/>
              <w:t>250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/év</w:t>
            </w:r>
          </w:p>
        </w:tc>
      </w:tr>
      <w:tr w:rsidR="002862DE" w:rsidRPr="002862DE" w14:paraId="1F4235D2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D215F55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2. 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24530843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Árusítófülke, pavilon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0B7A7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500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338B273B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A177CF3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3.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022150F2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Pótkocsi, munkagép, mezőgazdasági vontató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FF26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1 000 Ft/hó </w:t>
            </w:r>
          </w:p>
        </w:tc>
      </w:tr>
      <w:tr w:rsidR="002862DE" w:rsidRPr="002862DE" w14:paraId="382D8B12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C6CC56B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4.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3DE828B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– </w:t>
            </w:r>
            <w:proofErr w:type="spellStart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Személygépkocsinként</w:t>
            </w:r>
            <w:proofErr w:type="spellEnd"/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30542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3 000 Ft/év</w:t>
            </w:r>
          </w:p>
        </w:tc>
      </w:tr>
      <w:tr w:rsidR="002862DE" w:rsidRPr="002862DE" w14:paraId="6131EDE0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63D0010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2D384D71" w14:textId="77777777" w:rsidR="002862DE" w:rsidRPr="002862DE" w:rsidRDefault="002862DE" w:rsidP="002862DE">
            <w:pPr>
              <w:keepLines w:val="0"/>
              <w:ind w:left="237" w:hanging="237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– Teher- és különleges </w:t>
            </w:r>
            <w:proofErr w:type="gramStart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gépjárművek</w:t>
            </w:r>
            <w:proofErr w:type="gramEnd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valamint, ezek vontatmányainak elhelyezésére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FA38B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br/>
              <w:t>50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/év</w:t>
            </w:r>
          </w:p>
        </w:tc>
      </w:tr>
      <w:tr w:rsidR="002862DE" w:rsidRPr="002862DE" w14:paraId="66B60BF9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37F972C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5.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60D742EE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Önálló hirdető berendezések, táblák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F9D65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500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2633C456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0F638F4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30F3DF41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Transzparensek (felülete m</w:t>
            </w:r>
            <w:r w:rsidRPr="002862DE">
              <w:rPr>
                <w:rFonts w:ascii="Book Antiqua" w:eastAsia="Calibri" w:hAnsi="Book Antiqua"/>
                <w:position w:val="6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-ben)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888C6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50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/nap</w:t>
            </w:r>
          </w:p>
        </w:tc>
      </w:tr>
      <w:tr w:rsidR="002862DE" w:rsidRPr="002862DE" w14:paraId="77127479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AFFD7C2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6.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3404F004" w14:textId="77777777" w:rsidR="002862DE" w:rsidRPr="002862DE" w:rsidRDefault="002862DE" w:rsidP="002862DE">
            <w:pPr>
              <w:keepLines w:val="0"/>
              <w:ind w:left="237" w:hanging="237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Építési munkával kapcsolatos építőanyag- és törmeléktárolás, állványelhelyezés: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88852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br/>
              <w:t>10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17688903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A0B3920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3B9B3B25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30 napon belül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8CEF6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10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1370CD4E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05D032C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2B4F629D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6 hónapig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6DA48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15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0C0B0615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6980F84F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13C2D9C6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6 hónapon túl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94A10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20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191F6140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DF504EF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5BCB0C3B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Egyéb esetekben: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1113F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20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4BF480DA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63E2930A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7.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062FC8B8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Alkalmi és mozgóárusítás: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3E566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1000 Ft/óra</w:t>
            </w:r>
          </w:p>
        </w:tc>
      </w:tr>
      <w:tr w:rsidR="002862DE" w:rsidRPr="002862DE" w14:paraId="63F8C4FF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DFFFC57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8.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60808AF1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– Vendéglátóipari előkert: 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F2AC6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400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/hó</w:t>
            </w:r>
          </w:p>
        </w:tc>
      </w:tr>
      <w:tr w:rsidR="002862DE" w:rsidRPr="002862DE" w14:paraId="34B088F4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9AA4706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4738998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– Üzleti szállítás vagy rakodás alkalmával göngyölegek elhelyezése, </w:t>
            </w:r>
            <w:proofErr w:type="spellStart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árukirakodás</w:t>
            </w:r>
            <w:proofErr w:type="spellEnd"/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272F3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br/>
              <w:t>200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/év</w:t>
            </w:r>
          </w:p>
        </w:tc>
      </w:tr>
      <w:tr w:rsidR="002862DE" w:rsidRPr="002862DE" w14:paraId="05C2201E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382C6B7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9.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B0E3EA8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– Kiállítás 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6ADB0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200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/nap</w:t>
            </w:r>
          </w:p>
        </w:tc>
      </w:tr>
      <w:tr w:rsidR="002862DE" w:rsidRPr="002862DE" w14:paraId="6CD5C40B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356D706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3583B688" w14:textId="77777777" w:rsidR="002862DE" w:rsidRPr="002862DE" w:rsidRDefault="002862DE" w:rsidP="002862DE">
            <w:pPr>
              <w:keepLines w:val="0"/>
              <w:jc w:val="lef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–    Alkalmi vásár 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E3F79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100 Ft/m2/nap</w:t>
            </w:r>
          </w:p>
        </w:tc>
      </w:tr>
      <w:tr w:rsidR="002862DE" w:rsidRPr="002862DE" w14:paraId="170D5A68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FCED7F3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1D3F6C28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– Rendezvények, a nem bevételes kulturális rendezvények kivételével: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4FD12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br/>
              <w:t>10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/nap </w:t>
            </w:r>
          </w:p>
        </w:tc>
      </w:tr>
      <w:tr w:rsidR="002862DE" w:rsidRPr="002862DE" w14:paraId="7EFF2CEB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6520A77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10.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86A65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Közhasználatra még át nem adott közterületek ideiglenes használata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4C68592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br/>
              <w:t>10 Ft/m</w:t>
            </w:r>
            <w:r w:rsidRPr="002862DE">
              <w:rPr>
                <w:rFonts w:ascii="Book Antiqua" w:eastAsia="Calibri" w:hAnsi="Book Antiqua"/>
                <w:position w:val="10"/>
                <w:sz w:val="22"/>
                <w:szCs w:val="22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/nap</w:t>
            </w:r>
          </w:p>
        </w:tc>
      </w:tr>
      <w:tr w:rsidR="002862DE" w:rsidRPr="002862DE" w14:paraId="0FEEF6A2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E6B2F61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11.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56765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Filmalkotás forgatása</w:t>
            </w:r>
          </w:p>
          <w:p w14:paraId="175C484A" w14:textId="77777777" w:rsidR="002862DE" w:rsidRPr="002862DE" w:rsidRDefault="002862DE" w:rsidP="002862DE">
            <w:pPr>
              <w:keepLines w:val="0"/>
              <w:widowControl w:val="0"/>
              <w:numPr>
                <w:ilvl w:val="0"/>
                <w:numId w:val="4"/>
              </w:num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spacing w:after="200"/>
              <w:jc w:val="left"/>
              <w:textAlignment w:val="baseline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forgatási helyszín</w:t>
            </w:r>
          </w:p>
          <w:p w14:paraId="4A4DF402" w14:textId="77777777" w:rsidR="002862DE" w:rsidRPr="002862DE" w:rsidRDefault="002862DE" w:rsidP="002862DE">
            <w:pPr>
              <w:keepLines w:val="0"/>
              <w:widowControl w:val="0"/>
              <w:numPr>
                <w:ilvl w:val="0"/>
                <w:numId w:val="4"/>
              </w:num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spacing w:after="200"/>
              <w:jc w:val="left"/>
              <w:textAlignment w:val="baseline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technikai kiszolgálás</w:t>
            </w:r>
          </w:p>
          <w:p w14:paraId="2B96C240" w14:textId="77777777" w:rsidR="002862DE" w:rsidRPr="002862DE" w:rsidRDefault="002862DE" w:rsidP="002862DE">
            <w:pPr>
              <w:keepLines w:val="0"/>
              <w:widowControl w:val="0"/>
              <w:numPr>
                <w:ilvl w:val="0"/>
                <w:numId w:val="4"/>
              </w:num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spacing w:after="200"/>
              <w:jc w:val="left"/>
              <w:textAlignment w:val="baseline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stáb parkolás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1A6DCB4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  <w:p w14:paraId="096DBBDD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50,- Ft./m</w:t>
            </w:r>
            <w:r w:rsidRPr="002862DE">
              <w:rPr>
                <w:rFonts w:ascii="Book Antiqua" w:eastAsia="Calibri" w:hAnsi="Book Antiqua"/>
                <w:sz w:val="22"/>
                <w:szCs w:val="22"/>
                <w:vertAlign w:val="superscript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/nap</w:t>
            </w:r>
          </w:p>
          <w:p w14:paraId="51CCB1ED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20,- Ft./m</w:t>
            </w:r>
            <w:r w:rsidRPr="002862DE">
              <w:rPr>
                <w:rFonts w:ascii="Book Antiqua" w:eastAsia="Calibri" w:hAnsi="Book Antiqua"/>
                <w:sz w:val="22"/>
                <w:szCs w:val="22"/>
                <w:vertAlign w:val="superscript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/nap</w:t>
            </w:r>
          </w:p>
          <w:p w14:paraId="34D2A41F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20,- Ft./m</w:t>
            </w:r>
            <w:r w:rsidRPr="002862DE">
              <w:rPr>
                <w:rFonts w:ascii="Book Antiqua" w:eastAsia="Calibri" w:hAnsi="Book Antiqua"/>
                <w:sz w:val="22"/>
                <w:szCs w:val="22"/>
                <w:vertAlign w:val="superscript"/>
                <w:lang w:val="hu-HU" w:eastAsia="en-US"/>
              </w:rPr>
              <w:t>2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/nap</w:t>
            </w:r>
          </w:p>
        </w:tc>
      </w:tr>
      <w:tr w:rsidR="002862DE" w:rsidRPr="002862DE" w14:paraId="6B68AAF6" w14:textId="77777777" w:rsidTr="00657B03"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D784F42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vertAlign w:val="superscript"/>
                <w:lang w:val="hu-HU" w:eastAsia="en-US"/>
              </w:rPr>
              <w:footnoteReference w:id="1"/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12.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58FD5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Mozgóboltból történő árusítás</w:t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ab/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ab/>
            </w:r>
          </w:p>
          <w:p w14:paraId="7DEBDE0E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CB2ACB4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             1000,-Ft/nap</w:t>
            </w:r>
          </w:p>
          <w:p w14:paraId="4D986BB4" w14:textId="77777777" w:rsidR="002862DE" w:rsidRPr="002862DE" w:rsidRDefault="002862DE" w:rsidP="002862DE">
            <w:pPr>
              <w:keepLines w:val="0"/>
              <w:ind w:right="284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</w:p>
        </w:tc>
      </w:tr>
      <w:tr w:rsidR="002862DE" w:rsidRPr="002862DE" w14:paraId="25304AF5" w14:textId="77777777" w:rsidTr="00657B03">
        <w:trPr>
          <w:gridAfter w:val="1"/>
          <w:wAfter w:w="2607" w:type="dxa"/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9737FA7" w14:textId="77777777" w:rsidR="002862DE" w:rsidRPr="002862DE" w:rsidRDefault="002862DE" w:rsidP="002862DE">
            <w:pPr>
              <w:keepLines w:val="0"/>
              <w:ind w:right="170"/>
              <w:jc w:val="right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vertAlign w:val="superscript"/>
                <w:lang w:val="hu-HU" w:eastAsia="en-US"/>
              </w:rPr>
              <w:lastRenderedPageBreak/>
              <w:footnoteReference w:id="2"/>
            </w: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13.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4ECE1" w14:textId="77777777" w:rsidR="002862DE" w:rsidRPr="002862DE" w:rsidRDefault="002862DE" w:rsidP="002862DE">
            <w:pPr>
              <w:keepLines w:val="0"/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</w:pPr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Egyéb: a díj mértékét – a fentiek figyelembevételével – </w:t>
            </w:r>
            <w:proofErr w:type="spellStart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>esetenként</w:t>
            </w:r>
            <w:proofErr w:type="spellEnd"/>
            <w:r w:rsidRPr="002862DE">
              <w:rPr>
                <w:rFonts w:ascii="Book Antiqua" w:eastAsia="Calibri" w:hAnsi="Book Antiqua"/>
                <w:sz w:val="22"/>
                <w:szCs w:val="22"/>
                <w:lang w:val="hu-HU" w:eastAsia="en-US"/>
              </w:rPr>
              <w:t xml:space="preserve"> kell megállapítani.</w:t>
            </w:r>
          </w:p>
        </w:tc>
      </w:tr>
    </w:tbl>
    <w:p w14:paraId="5AA88306" w14:textId="77777777" w:rsidR="00896F7E" w:rsidRPr="008C3E33" w:rsidRDefault="00896F7E" w:rsidP="008C3E33"/>
    <w:sectPr w:rsidR="00896F7E" w:rsidRPr="008C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5CE4A" w14:textId="77777777" w:rsidR="00751A66" w:rsidRDefault="00751A66" w:rsidP="006E018C">
      <w:r>
        <w:separator/>
      </w:r>
    </w:p>
  </w:endnote>
  <w:endnote w:type="continuationSeparator" w:id="0">
    <w:p w14:paraId="19651344" w14:textId="77777777" w:rsidR="00751A66" w:rsidRDefault="00751A66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07A44" w14:textId="77777777" w:rsidR="00751A66" w:rsidRDefault="00751A66" w:rsidP="006E018C">
      <w:r>
        <w:separator/>
      </w:r>
    </w:p>
  </w:footnote>
  <w:footnote w:type="continuationSeparator" w:id="0">
    <w:p w14:paraId="0FDB8F79" w14:textId="77777777" w:rsidR="00751A66" w:rsidRDefault="00751A66" w:rsidP="006E018C">
      <w:r>
        <w:continuationSeparator/>
      </w:r>
    </w:p>
  </w:footnote>
  <w:footnote w:id="1">
    <w:p w14:paraId="48B85CF7" w14:textId="77777777" w:rsidR="002862DE" w:rsidRDefault="002862DE" w:rsidP="002862DE">
      <w:pPr>
        <w:pStyle w:val="Lbjegyzetszveg"/>
        <w:spacing w:after="120"/>
      </w:pPr>
      <w:r>
        <w:rPr>
          <w:rStyle w:val="Lbjegyzet-hivatkozs"/>
        </w:rPr>
        <w:footnoteRef/>
      </w:r>
      <w:r>
        <w:t xml:space="preserve"> Beiktatta a 2/2019. (V. 2.) önkormányzati rendelet. Hatályos 2019. május 3-tól.</w:t>
      </w:r>
    </w:p>
  </w:footnote>
  <w:footnote w:id="2">
    <w:p w14:paraId="63D33FE7" w14:textId="77777777" w:rsidR="002862DE" w:rsidRDefault="002862DE" w:rsidP="002862DE">
      <w:pPr>
        <w:pStyle w:val="Lbjegyzetszveg"/>
        <w:spacing w:after="120"/>
      </w:pPr>
      <w:r>
        <w:rPr>
          <w:rStyle w:val="Lbjegyzet-hivatkozs"/>
        </w:rPr>
        <w:footnoteRef/>
      </w:r>
      <w:r>
        <w:t xml:space="preserve"> </w:t>
      </w:r>
      <w:r>
        <w:t xml:space="preserve">Számozását </w:t>
      </w:r>
      <w:r>
        <w:t>módosította a 2/2019. (V. 2.) önkormányzati rendelet. Hatályos 2019. május 3-tól.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BA9C0C"/>
    <w:lvl w:ilvl="0">
      <w:numFmt w:val="bullet"/>
      <w:lvlText w:val="*"/>
      <w:lvlJc w:val="left"/>
    </w:lvl>
  </w:abstractNum>
  <w:abstractNum w:abstractNumId="1" w15:restartNumberingAfterBreak="0">
    <w:nsid w:val="3300413D"/>
    <w:multiLevelType w:val="singleLevel"/>
    <w:tmpl w:val="1F5428A6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  <w:rPr>
        <w:i/>
      </w:rPr>
    </w:lvl>
  </w:abstractNum>
  <w:abstractNum w:abstractNumId="2" w15:restartNumberingAfterBreak="0">
    <w:nsid w:val="544363F0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B904306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87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2862DE"/>
    <w:rsid w:val="006E018C"/>
    <w:rsid w:val="00751A66"/>
    <w:rsid w:val="007A5465"/>
    <w:rsid w:val="00896F7E"/>
    <w:rsid w:val="008C3E33"/>
    <w:rsid w:val="00B74E8E"/>
    <w:rsid w:val="00C85D6C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uiPriority w:val="99"/>
    <w:semiHidden/>
    <w:rsid w:val="006E018C"/>
    <w:rPr>
      <w:vertAlign w:val="superscript"/>
    </w:rPr>
  </w:style>
  <w:style w:type="paragraph" w:customStyle="1" w:styleId="CharCharCharChar">
    <w:name w:val="Char Char Char Char"/>
    <w:basedOn w:val="Norml"/>
    <w:rsid w:val="00FD2591"/>
    <w:pPr>
      <w:keepLine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">
    <w:name w:val=" Char"/>
    <w:basedOn w:val="Norml"/>
    <w:rsid w:val="008C3E33"/>
    <w:pPr>
      <w:keepLines w:val="0"/>
      <w:spacing w:before="120" w:afterLines="50" w:after="160" w:line="240" w:lineRule="exact"/>
      <w:ind w:left="180"/>
      <w:jc w:val="left"/>
    </w:pPr>
    <w:rPr>
      <w:rFonts w:ascii="Verdana" w:hAnsi="Verdana" w:cs="Verdana"/>
      <w:noProof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2020-08-06T11:01:00Z</dcterms:created>
  <dcterms:modified xsi:type="dcterms:W3CDTF">2020-08-06T11:01:00Z</dcterms:modified>
</cp:coreProperties>
</file>