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CC" w:rsidRDefault="001A17CC" w:rsidP="001A17CC">
      <w:pPr>
        <w:pStyle w:val="Szvegtrzs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  számú melléklet</w:t>
      </w:r>
    </w:p>
    <w:p w:rsidR="001A17CC" w:rsidRDefault="001A17CC" w:rsidP="001A17CC">
      <w:pPr>
        <w:pStyle w:val="Szvegtrzs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Az önkormányzati képviselők, a polgármester és az alpolgármester vagyonnyilatkozatának nyilvántartása, a nyilatkozatokkal kapcsolatos ellenőrzési eljárás, adatvédelem</w:t>
      </w:r>
    </w:p>
    <w:p w:rsidR="001A17CC" w:rsidRDefault="001A17CC" w:rsidP="001A17CC">
      <w:pPr>
        <w:pStyle w:val="Szvegtrzs"/>
        <w:rPr>
          <w:rFonts w:ascii="Times New Roman" w:hAnsi="Times New Roman" w:cs="Times New Roman"/>
        </w:rPr>
      </w:pPr>
    </w:p>
    <w:p w:rsidR="001A17CC" w:rsidRDefault="001A17CC" w:rsidP="001A17CC">
      <w:pPr>
        <w:ind w:right="332"/>
        <w:jc w:val="both"/>
      </w:pPr>
      <w:r>
        <w:t xml:space="preserve">A képviselők vagyonnyilatkozatainak nyilvántartását és ellenőrzését, valamint a vagyonnyilatkozati eljárással kapcsolatos Képviselő-testületi döntések előkészítését az Ügyrendi Bizottság (továbbiakban: bizottság) az alábbiak szerint végzi: </w:t>
      </w:r>
    </w:p>
    <w:p w:rsidR="001A17CC" w:rsidRDefault="001A17CC" w:rsidP="001A17CC">
      <w:pPr>
        <w:ind w:right="332"/>
        <w:jc w:val="both"/>
      </w:pPr>
    </w:p>
    <w:p w:rsidR="001A17CC" w:rsidRDefault="001A17CC" w:rsidP="001A17CC">
      <w:pPr>
        <w:pStyle w:val="Cmsor2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1A17CC" w:rsidRDefault="001A17CC" w:rsidP="001A17CC">
      <w:pPr>
        <w:jc w:val="center"/>
      </w:pPr>
    </w:p>
    <w:p w:rsidR="001A17CC" w:rsidRDefault="001A17CC" w:rsidP="001A17CC">
      <w:pPr>
        <w:pStyle w:val="Szvegtrzs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vagyonnyilatkozatok beadása és nyilvántartása</w:t>
      </w:r>
    </w:p>
    <w:p w:rsidR="001A17CC" w:rsidRDefault="001A17CC" w:rsidP="001A17CC">
      <w:pPr>
        <w:jc w:val="center"/>
      </w:pP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 xml:space="preserve">(1) </w:t>
      </w:r>
      <w:r>
        <w:tab/>
        <w:t>A bizottság a   közreműködésével felhívja az érintett személyeket vagyonnyilatkozat-tételi kötelezettségük teljesítésére és esedékességének időpontjára. Ezzel egyidejűleg biztosítja a vagyonnyilatkozat megtételéhez szükséges nyomtatványokat és megadja a vagyonnyilatkozat-tételhez szükséges tájékoztatást.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 xml:space="preserve">(2) </w:t>
      </w:r>
      <w:r>
        <w:tab/>
        <w:t>A vagyonnyilatkozatot két példányban kell kitölteni, melyből egy példány a vagyonnyilatkozatra kötelezettnél marad.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 xml:space="preserve">(3) </w:t>
      </w:r>
      <w:r>
        <w:tab/>
        <w:t xml:space="preserve">A vagyonnyilatkozatot dátummal és aláírással látja el az érintett, nagykorú hozzátartozója, kiskorú hozzátartozó esetében annak törvényes képviselője.  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 xml:space="preserve">(4) </w:t>
      </w:r>
      <w:r>
        <w:tab/>
        <w:t>A vagyonnyilatkozattételre kötelezett a saját és a hozzátartozói vagyonnyilatkozatának egy-egy példányát külön-külön borítékba helyezi, lezárja és a borítékot nevével ellátja és aláírja. A lezárt borítékokat a törvényben meghatározott határidőben a jegyző  útján kell átadni a Bizottság részére.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 xml:space="preserve">(5) </w:t>
      </w:r>
      <w:r>
        <w:tab/>
        <w:t>A bizottság a vagyonnyilatkozatok nyilvántartásával, őrzésével kapcsolatos feladatokat az jegyző  adminisztrációs, technikai közreműködésével látja el.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>(6)</w:t>
      </w:r>
      <w:r>
        <w:tab/>
        <w:t xml:space="preserve">A vagyonnyilatkozatok beadására nyitva álló határidő elteltét követő ülésén a bizottság ellenőrzi a vagyonnyilatkozat-tételi kötelezettségek teljesítését, mely kötelezettségek teljesítéséről vagy annak elmulasztásáról tájékoztatja a Képviselő-testületet. 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>(7)</w:t>
      </w:r>
      <w:r>
        <w:tab/>
        <w:t>Mandátum megszűnése esetén a bizottság gondoskodik a vagyonnyilatkozat visszaadásáról az érintett képviselő részére. A hozzátartozó közös háztartásban történő életvitelének megszűnése esetén gondoskodik a vagyonnyilatkozat visszaadásáról, ha a képviselő azt bejelentette.</w:t>
      </w:r>
    </w:p>
    <w:p w:rsidR="001A17CC" w:rsidRDefault="001A17CC" w:rsidP="001A17CC">
      <w:pPr>
        <w:tabs>
          <w:tab w:val="left" w:pos="709"/>
        </w:tabs>
        <w:ind w:left="709" w:hanging="709"/>
        <w:jc w:val="both"/>
      </w:pPr>
      <w:r>
        <w:t>(8)</w:t>
      </w:r>
      <w:r>
        <w:tab/>
        <w:t>Az önkormányzati képviselő és hozzátartozója tárgyévben tett vagyonnyilatkozatának benyújtását követően, az előző évre vonatkozó vagyonnyilatkozatukat a vagyonnyilatkozat-vizsgáló bizottság - a jegyző segítségével - a képviselőnek visszaadja.</w:t>
      </w:r>
    </w:p>
    <w:p w:rsidR="001A17CC" w:rsidRDefault="001A17CC" w:rsidP="001A17CC">
      <w:pPr>
        <w:pStyle w:val="Szvegtrzs2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17CC" w:rsidRDefault="001A17CC" w:rsidP="001A17CC">
      <w:pPr>
        <w:pStyle w:val="Szvegtrzs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1A17CC" w:rsidRDefault="001A17CC" w:rsidP="001A17CC">
      <w:pPr>
        <w:pStyle w:val="Cmsor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vagyonnyilatkozatokkal kapcsolatos ellenőrzési eljárás</w:t>
      </w:r>
    </w:p>
    <w:p w:rsidR="001A17CC" w:rsidRDefault="001A17CC" w:rsidP="001A17CC">
      <w:pPr>
        <w:jc w:val="both"/>
        <w:rPr>
          <w:b/>
        </w:rPr>
      </w:pPr>
    </w:p>
    <w:p w:rsidR="001A17CC" w:rsidRDefault="001A17CC" w:rsidP="001A17CC">
      <w:pPr>
        <w:ind w:left="705" w:hanging="705"/>
        <w:jc w:val="both"/>
      </w:pPr>
      <w:r>
        <w:t xml:space="preserve">(1) </w:t>
      </w:r>
      <w:r>
        <w:tab/>
        <w:t xml:space="preserve">A vagyonnyilatkozattal kapcsolatosan a bizottságnál bárki kezdeményezheti az eljárás lefolytatását. </w:t>
      </w:r>
    </w:p>
    <w:p w:rsidR="001A17CC" w:rsidRDefault="001A17CC" w:rsidP="001A17CC">
      <w:pPr>
        <w:ind w:left="705" w:hanging="705"/>
        <w:jc w:val="both"/>
      </w:pPr>
      <w:r>
        <w:t xml:space="preserve">(2) </w:t>
      </w:r>
      <w:r>
        <w:tab/>
        <w:t>A vagyonnyilatkozattal kapcsolatos eljárás célja a vagyonnyilatkozatban foglaltak valóságtartalmának ellenőrzése.</w:t>
      </w:r>
    </w:p>
    <w:p w:rsidR="001A17CC" w:rsidRDefault="001A17CC" w:rsidP="001A17CC">
      <w:pPr>
        <w:ind w:left="705" w:hanging="705"/>
        <w:jc w:val="both"/>
      </w:pPr>
      <w:r>
        <w:t>(3)</w:t>
      </w:r>
      <w:r>
        <w:tab/>
        <w:t xml:space="preserve">Vagyonnyilatkozattal kapcsolatos eljárás lefolytatásának csak a vagyonnyilatkozat konkrét tartalmára vonatkozó tényállítás esetén van helye. Amennyiben az eljárásra irányuló kezdeményezés nem jelöli meg konkrétan a vagyonnyilatkozat kifogásolt </w:t>
      </w:r>
      <w:r>
        <w:lastRenderedPageBreak/>
        <w:t>részét és tartalmát, a bizottság elnöke felhívja a kezdeményezőt a hiány pótlására. Ha a kezdeményező 15 napon belül nem tesz eleget a felhívásnak, vagy ha ismételten hiányosan nyújtja be, a bizottság elnöke az eljárás lefolytatása nélkül elutasítja a kezdeményezést.</w:t>
      </w:r>
    </w:p>
    <w:p w:rsidR="001A17CC" w:rsidRDefault="001A17CC" w:rsidP="001A17CC">
      <w:pPr>
        <w:ind w:left="705" w:hanging="705"/>
        <w:jc w:val="both"/>
      </w:pPr>
      <w:r>
        <w:t xml:space="preserve">(4) </w:t>
      </w:r>
      <w:r>
        <w:tab/>
        <w:t>A bizottság elnöke az ellenőrzés jogszerű kezdeményezése esetén felhívja az érintett képviselőt, hogy 8 napon belül nyilatkozzon a kezdeményezéssel kapcsolatosan, illetve – amennyiben azt alaposnak találja – javítsa ki a kezdeményezésben kifogásolt adatokat.</w:t>
      </w:r>
    </w:p>
    <w:p w:rsidR="001A17CC" w:rsidRDefault="001A17CC" w:rsidP="001A17CC">
      <w:pPr>
        <w:ind w:left="705" w:hanging="705"/>
        <w:jc w:val="both"/>
      </w:pPr>
      <w:r>
        <w:t xml:space="preserve">(5) </w:t>
      </w:r>
      <w:r>
        <w:tab/>
        <w:t xml:space="preserve">A bizottság elnöke az érintett képviselő nyilatkozatát követően elrendeli a vagyonnyilatkozat vizsgálatát, mely során a bizottság tagjai betekinthetnek a képviselővel közös háztartásban élő házas- vagy élettársának, valamint gyermekének vagyonnyilatkozatába is.  </w:t>
      </w:r>
    </w:p>
    <w:p w:rsidR="001A17CC" w:rsidRDefault="001A17CC" w:rsidP="001A17CC">
      <w:pPr>
        <w:ind w:left="705" w:hanging="705"/>
        <w:jc w:val="both"/>
      </w:pPr>
      <w:r>
        <w:t xml:space="preserve">(6) </w:t>
      </w:r>
      <w:r>
        <w:tab/>
        <w:t>A bizottság eljárására a bizottság zárt ülésén kerülhet sor, melyre  a képviselő-testületi zárt ülésre vonatkozó szabályokat kell alkalmazni.</w:t>
      </w:r>
    </w:p>
    <w:p w:rsidR="001A17CC" w:rsidRDefault="001A17CC" w:rsidP="001A17CC">
      <w:pPr>
        <w:ind w:left="705" w:hanging="705"/>
        <w:jc w:val="both"/>
      </w:pPr>
      <w:r>
        <w:t xml:space="preserve">(7) </w:t>
      </w:r>
      <w:r>
        <w:tab/>
        <w:t xml:space="preserve">A bizottság felhívására a képviselő a saját, illetve a hozzátartozója vagyonnyilatkozatában feltüntetett adatokra vonatkozó azonosító adatokat köteles haladéktalanul írásban bejelenteni. A bizottság mérlegelési jogkörében jogosult dönteni az azonosító adatok köréről, de csak a vagyonnyilatkozat megtételére szolgáló nyomtatványon szereplő adatkörrel kapcsolatosan kérhet azonosító adatokat. </w:t>
      </w:r>
    </w:p>
    <w:p w:rsidR="001A17CC" w:rsidRDefault="001A17CC" w:rsidP="001A17CC">
      <w:pPr>
        <w:tabs>
          <w:tab w:val="left" w:pos="720"/>
        </w:tabs>
        <w:jc w:val="both"/>
      </w:pPr>
      <w:r>
        <w:t>(8)</w:t>
      </w:r>
      <w:r>
        <w:tab/>
        <w:t>Az azonosító adatokat csak a bizottság tagjai ismerhetik meg.</w:t>
      </w:r>
    </w:p>
    <w:p w:rsidR="001A17CC" w:rsidRDefault="001A17CC" w:rsidP="001A17CC">
      <w:pPr>
        <w:ind w:left="705" w:hanging="705"/>
        <w:jc w:val="both"/>
      </w:pPr>
      <w:r>
        <w:t xml:space="preserve">(9) </w:t>
      </w:r>
      <w:r>
        <w:tab/>
        <w:t>A vagyonnyilatkozatokra vonatkozó azonosító adatokat az eljárás lezárását követő 8 napon belül törölni kell. A törlésről jegyzőkönyvet kell felvenni, melyet két bizottsági tag ír alá és melyet az iratok között kell megőrizni.</w:t>
      </w:r>
    </w:p>
    <w:p w:rsidR="001A17CC" w:rsidRDefault="001A17CC" w:rsidP="001A17CC">
      <w:pPr>
        <w:ind w:left="705" w:hanging="705"/>
        <w:jc w:val="both"/>
      </w:pPr>
      <w:r>
        <w:t>(10)</w:t>
      </w:r>
      <w:r>
        <w:tab/>
        <w:t xml:space="preserve">Az ellenőrzési eljárás megismétlésének ugyanazon vagyonnyilatkozat esetében csak akkor van helye, ha az erre irányuló kezdeményezés új tényállást, illetve adatot tartalmaz. A vagyonnyilatkozattal kapcsolatos eljárásra irányuló – új tényállítás nélküli – ismételt kezdeményezést a bizottság elnöke az eljárás lefolytatása nélkül elutasítja. </w:t>
      </w:r>
    </w:p>
    <w:p w:rsidR="001A17CC" w:rsidRDefault="001A17CC" w:rsidP="001A17CC">
      <w:pPr>
        <w:ind w:left="705" w:hanging="705"/>
        <w:jc w:val="both"/>
      </w:pPr>
      <w:r>
        <w:t>(11)</w:t>
      </w:r>
      <w:r>
        <w:tab/>
        <w:t>A bizottság az eljárás lezárását követően írásban tájékoztatja a Képviselő-testületet - soron következő ülésén - a vagyonnyilatkozati eljárással kapcsolatos megállapításairól. A tájékoztatóra a Képviselő-testület zárt ülésén kerül sor.</w:t>
      </w:r>
    </w:p>
    <w:p w:rsidR="001A17CC" w:rsidRDefault="001A17CC" w:rsidP="001A17CC">
      <w:pPr>
        <w:jc w:val="both"/>
      </w:pPr>
    </w:p>
    <w:p w:rsidR="001A17CC" w:rsidRDefault="001A17CC" w:rsidP="001A17CC">
      <w:pPr>
        <w:pStyle w:val="Cmsor2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1A17CC" w:rsidRDefault="001A17CC" w:rsidP="001A17CC">
      <w:pPr>
        <w:pStyle w:val="Cmsor1"/>
        <w:numPr>
          <w:ilvl w:val="0"/>
          <w:numId w:val="2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Adatvédelem</w:t>
      </w:r>
    </w:p>
    <w:p w:rsidR="001A17CC" w:rsidRDefault="001A17CC" w:rsidP="001A17CC">
      <w:pPr>
        <w:jc w:val="both"/>
        <w:rPr>
          <w:b/>
        </w:rPr>
      </w:pPr>
    </w:p>
    <w:p w:rsidR="001A17CC" w:rsidRDefault="001A17CC" w:rsidP="001A17CC">
      <w:pPr>
        <w:ind w:left="705" w:hanging="705"/>
        <w:jc w:val="both"/>
      </w:pPr>
      <w:r>
        <w:t xml:space="preserve">(1) </w:t>
      </w:r>
      <w:r>
        <w:tab/>
        <w:t>A polgármester, az alpolgármester és az önkormányzati képviselő vagyonnyilatkozata nyilvános.</w:t>
      </w:r>
    </w:p>
    <w:p w:rsidR="001A17CC" w:rsidRDefault="001A17CC" w:rsidP="001A17CC">
      <w:pPr>
        <w:ind w:left="705" w:hanging="705"/>
        <w:jc w:val="both"/>
      </w:pPr>
      <w:r>
        <w:t xml:space="preserve">(2) </w:t>
      </w:r>
      <w:r>
        <w:tab/>
        <w:t>A hozzátartozók vagyonnyilatkozata és az annak ellenőrzéséhez szolgáltatott azonosító adatok, valamint a polgármester, az alpolgármester és az önkormányzati képviselő vagyonnyilatkozatának ellenőrzéséhez szolgáltatott azonosító adatok nem nyilvánosak, azokba csak a bizottság tagjai tekinthetnek be, kizárólag ellenőrzés céljából.</w:t>
      </w:r>
    </w:p>
    <w:p w:rsidR="001A17CC" w:rsidRDefault="001A17CC" w:rsidP="001A17CC">
      <w:pPr>
        <w:ind w:left="705" w:hanging="705"/>
        <w:jc w:val="both"/>
      </w:pPr>
      <w:r>
        <w:t xml:space="preserve">(3) </w:t>
      </w:r>
      <w:r>
        <w:tab/>
        <w:t xml:space="preserve">A vagyonnyilatkozatokkal kapcsolatos iratokat páncélszekrényben kell őrizni és az egyéb bizottsági iratoktól elkülönítve kell tárolni. </w:t>
      </w:r>
    </w:p>
    <w:p w:rsidR="001A17CC" w:rsidRDefault="001A17CC" w:rsidP="001A17CC">
      <w:pPr>
        <w:ind w:left="705" w:hanging="705"/>
        <w:jc w:val="both"/>
      </w:pPr>
      <w:r>
        <w:t xml:space="preserve">(4) </w:t>
      </w:r>
      <w:r>
        <w:tab/>
        <w:t>A vagyonnyilatkozatokkal kapcsolatosan keletkezett iratokról külön nyilvántartást kell vezetni. A nyilvántartás tartalmazza:</w:t>
      </w:r>
    </w:p>
    <w:p w:rsidR="001A17CC" w:rsidRDefault="001A17CC" w:rsidP="001A17CC">
      <w:pPr>
        <w:pStyle w:val="Felsorols2"/>
        <w:ind w:firstLine="143"/>
        <w:jc w:val="both"/>
      </w:pPr>
      <w:r>
        <w:t>- a vagyonnyilatkozat-tételre kötelezett nevét,</w:t>
      </w:r>
    </w:p>
    <w:p w:rsidR="001A17CC" w:rsidRDefault="001A17CC" w:rsidP="001A17CC">
      <w:pPr>
        <w:pStyle w:val="Felsorols2"/>
        <w:ind w:firstLine="143"/>
        <w:jc w:val="both"/>
      </w:pPr>
      <w:r>
        <w:t>- a hozzátartozói vagyonnyilatkozatok számát,</w:t>
      </w:r>
    </w:p>
    <w:p w:rsidR="001A17CC" w:rsidRDefault="001A17CC" w:rsidP="001A17CC">
      <w:pPr>
        <w:pStyle w:val="Felsorols2"/>
        <w:ind w:firstLine="143"/>
        <w:jc w:val="both"/>
      </w:pPr>
      <w:r>
        <w:t>- az átadás, átvétel dátumát.</w:t>
      </w:r>
    </w:p>
    <w:p w:rsidR="001A17CC" w:rsidRDefault="001A17CC" w:rsidP="001A17CC">
      <w:pPr>
        <w:ind w:left="705" w:hanging="705"/>
        <w:jc w:val="both"/>
      </w:pPr>
      <w:r>
        <w:t xml:space="preserve">(5) </w:t>
      </w:r>
      <w:r>
        <w:tab/>
        <w:t xml:space="preserve">A hozzátartozók vagyonnyilatkozatát és az annak ellenőrzéséhez szolgáltatott azonosító adatokat tartalmazó dokumentumot, valamint a polgármester, az alpolgármester és az önkormányzati képviselő vagyonnyilatkozatának ellenőrzéséhez szolgáltatott azonosító adatokat tartalmazó dokumentumot – a velük kapcsolatos tényleges ellenőrzési </w:t>
      </w:r>
      <w:r>
        <w:lastRenderedPageBreak/>
        <w:t xml:space="preserve">cselekmények időtartalmát kivéve – zárt borítékban kell tárolni. A boríték záró címkéjét az átadó és az átvevő kézjegyével, valamint az átadás dátumával látja el oly módon, hogy a borítékot annak megsértése nélkül ne lehessen felnyitni. Betekintést követően a bizottság elnöke és egy tagja zárja le a borítékot. </w:t>
      </w:r>
    </w:p>
    <w:p w:rsidR="001A17CC" w:rsidRDefault="001A17CC" w:rsidP="001A17CC">
      <w:pPr>
        <w:ind w:left="705" w:hanging="705"/>
        <w:jc w:val="both"/>
      </w:pPr>
      <w:r>
        <w:t>(6)</w:t>
      </w:r>
      <w:r>
        <w:tab/>
        <w:t>A csatolt hozzátartozói vagyonnyilatkozatokat külön-külön, zárt borítékban kell elhelyezni. A hozzátartozói vagyonnyilatkozatba csak a vagyonnyilatkozatokat kezelő bizottság tagjai tekinthetnek be, és ők is csak ellenőrzés céljából.</w:t>
      </w:r>
    </w:p>
    <w:p w:rsidR="001A17CC" w:rsidRDefault="001A17CC" w:rsidP="001A17CC">
      <w:pPr>
        <w:ind w:left="705" w:hanging="705"/>
        <w:jc w:val="both"/>
      </w:pPr>
      <w:r>
        <w:t>(7)</w:t>
      </w:r>
      <w:r>
        <w:tab/>
        <w:t xml:space="preserve">Bárki jogosult a nyilvános vagyonnyilatkozat megtekintésére a bizottság bármelyik 2 tagjának jelenlétében előre egyeztetett időpontban. </w:t>
      </w:r>
    </w:p>
    <w:p w:rsidR="001A17CC" w:rsidRDefault="001A17CC" w:rsidP="001A17CC">
      <w:pPr>
        <w:ind w:left="705"/>
        <w:jc w:val="both"/>
      </w:pPr>
      <w:r>
        <w:t xml:space="preserve">A Bizottság köteles a betekintésről adattovábbítási nyilvántartást vezetni, amelynek tartalmaznia kell képviselőnként valamennyi betekintés időpontját, a jelenlévő két bizottsági tag nevét, illetve a betekintést kérő személy nevét, lakcímét és az igazoló-okmánya számát. A betekintő személy köteles személyi igazolványával vagy más okmánnyal igazolni magát, ha ennek nem tesz eleget, nem jogosult a betekintésre. Az adattovábbítási nyilvántartásba a bizottság tagjain kívül az érintett képviselő jogosult betekinteni. </w:t>
      </w:r>
    </w:p>
    <w:p w:rsidR="001A17CC" w:rsidRDefault="001A17CC" w:rsidP="001A17CC">
      <w:pPr>
        <w:pStyle w:val="Szvegtrzs"/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</w:t>
      </w:r>
      <w:r>
        <w:rPr>
          <w:rFonts w:ascii="Times New Roman" w:hAnsi="Times New Roman" w:cs="Times New Roman"/>
        </w:rPr>
        <w:tab/>
        <w:t>A bizottság az ellenőrzési eljárás során az iratokba történő betekintésről betekintési lapot vezet, mely a betekintés dokumentálására szolgál. A betekintési lap tartalmazza a megtekintett vagyonnyilatkozatok bizottsági azonosító számát, a betekintés dátumát, a betekintők nevét.</w:t>
      </w:r>
    </w:p>
    <w:p w:rsidR="001A17CC" w:rsidRDefault="001A17CC" w:rsidP="001A17CC"/>
    <w:p w:rsidR="00160B89" w:rsidRDefault="00160B89"/>
    <w:sectPr w:rsidR="0016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CC"/>
    <w:rsid w:val="00160B89"/>
    <w:rsid w:val="001A17CC"/>
    <w:rsid w:val="007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5E260-78AB-4D64-9A2A-0BDDDDFC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1">
    <w:name w:val="heading 1"/>
    <w:basedOn w:val="Norml"/>
    <w:next w:val="Norml"/>
    <w:link w:val="Cmsor1Char"/>
    <w:qFormat/>
    <w:rsid w:val="001A17CC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ascii="Arial" w:hAnsi="Arial" w:cs="Arial"/>
      <w:b/>
      <w:sz w:val="26"/>
      <w:szCs w:val="20"/>
      <w:lang w:val="hu-HU"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A17CC"/>
    <w:pPr>
      <w:keepNext/>
      <w:widowControl/>
      <w:numPr>
        <w:ilvl w:val="1"/>
        <w:numId w:val="1"/>
      </w:numPr>
      <w:suppressAutoHyphens/>
      <w:autoSpaceDE/>
      <w:autoSpaceDN/>
      <w:adjustRightInd/>
      <w:ind w:left="705" w:hanging="705"/>
      <w:jc w:val="center"/>
      <w:outlineLvl w:val="1"/>
    </w:pPr>
    <w:rPr>
      <w:rFonts w:ascii="Arial" w:hAnsi="Arial" w:cs="Arial"/>
      <w:b/>
      <w:sz w:val="26"/>
      <w:szCs w:val="20"/>
      <w:lang w:val="hu-HU" w:eastAsia="zh-CN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A17CC"/>
    <w:pPr>
      <w:keepNext/>
      <w:widowControl/>
      <w:numPr>
        <w:ilvl w:val="2"/>
        <w:numId w:val="1"/>
      </w:numPr>
      <w:suppressAutoHyphens/>
      <w:autoSpaceDE/>
      <w:autoSpaceDN/>
      <w:adjustRightInd/>
      <w:jc w:val="center"/>
      <w:outlineLvl w:val="2"/>
    </w:pPr>
    <w:rPr>
      <w:b/>
      <w:bCs/>
      <w:sz w:val="28"/>
      <w:u w:val="single"/>
      <w:lang w:val="hu-HU" w:eastAsia="zh-CN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A17CC"/>
    <w:pPr>
      <w:keepNext/>
      <w:widowControl/>
      <w:numPr>
        <w:ilvl w:val="3"/>
        <w:numId w:val="1"/>
      </w:numPr>
      <w:suppressAutoHyphens/>
      <w:autoSpaceDE/>
      <w:autoSpaceDN/>
      <w:adjustRightInd/>
      <w:jc w:val="center"/>
      <w:outlineLvl w:val="3"/>
    </w:pPr>
    <w:rPr>
      <w:rFonts w:ascii="Arial" w:hAnsi="Arial" w:cs="Arial"/>
      <w:b/>
      <w:sz w:val="20"/>
      <w:szCs w:val="20"/>
      <w:u w:val="single"/>
      <w:lang w:val="hu-HU" w:eastAsia="zh-CN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A17CC"/>
    <w:pPr>
      <w:keepNext/>
      <w:widowControl/>
      <w:numPr>
        <w:ilvl w:val="4"/>
        <w:numId w:val="1"/>
      </w:numPr>
      <w:suppressAutoHyphens/>
      <w:autoSpaceDE/>
      <w:autoSpaceDN/>
      <w:adjustRightInd/>
      <w:jc w:val="both"/>
      <w:outlineLvl w:val="4"/>
    </w:pPr>
    <w:rPr>
      <w:rFonts w:ascii="Arial" w:hAnsi="Arial" w:cs="Arial"/>
      <w:b/>
      <w:i/>
      <w:sz w:val="20"/>
      <w:szCs w:val="20"/>
      <w:lang w:val="hu-HU" w:eastAsia="zh-CN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1A17CC"/>
    <w:pPr>
      <w:keepNext/>
      <w:widowControl/>
      <w:numPr>
        <w:ilvl w:val="5"/>
        <w:numId w:val="1"/>
      </w:numPr>
      <w:suppressAutoHyphens/>
      <w:autoSpaceDE/>
      <w:autoSpaceDN/>
      <w:adjustRightInd/>
      <w:jc w:val="center"/>
      <w:outlineLvl w:val="5"/>
    </w:pPr>
    <w:rPr>
      <w:rFonts w:ascii="Arial" w:hAnsi="Arial" w:cs="Arial"/>
      <w:b/>
      <w:sz w:val="20"/>
      <w:szCs w:val="20"/>
      <w:lang w:val="hu-HU" w:eastAsia="zh-C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A17CC"/>
    <w:pPr>
      <w:keepNext/>
      <w:widowControl/>
      <w:numPr>
        <w:ilvl w:val="6"/>
        <w:numId w:val="1"/>
      </w:numPr>
      <w:tabs>
        <w:tab w:val="center" w:pos="2268"/>
        <w:tab w:val="center" w:pos="6804"/>
      </w:tabs>
      <w:suppressAutoHyphens/>
      <w:autoSpaceDE/>
      <w:autoSpaceDN/>
      <w:adjustRightInd/>
      <w:jc w:val="both"/>
      <w:outlineLvl w:val="6"/>
    </w:pPr>
    <w:rPr>
      <w:b/>
      <w:szCs w:val="20"/>
      <w:lang w:val="hu-HU" w:eastAsia="zh-CN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1A17CC"/>
    <w:pPr>
      <w:keepNext/>
      <w:widowControl/>
      <w:numPr>
        <w:ilvl w:val="7"/>
        <w:numId w:val="1"/>
      </w:numPr>
      <w:suppressAutoHyphens/>
      <w:autoSpaceDE/>
      <w:autoSpaceDN/>
      <w:adjustRightInd/>
      <w:jc w:val="center"/>
      <w:outlineLvl w:val="7"/>
    </w:pPr>
    <w:rPr>
      <w:b/>
      <w:caps/>
      <w:szCs w:val="20"/>
      <w:lang w:val="hu-HU" w:eastAsia="zh-CN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1A17CC"/>
    <w:pPr>
      <w:keepNext/>
      <w:widowControl/>
      <w:numPr>
        <w:ilvl w:val="8"/>
        <w:numId w:val="1"/>
      </w:numPr>
      <w:suppressAutoHyphens/>
      <w:autoSpaceDE/>
      <w:autoSpaceDN/>
      <w:adjustRightInd/>
      <w:jc w:val="center"/>
      <w:outlineLvl w:val="8"/>
    </w:pPr>
    <w:rPr>
      <w:b/>
      <w:szCs w:val="20"/>
      <w:u w:val="single"/>
      <w:lang w:val="hu-HU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17CC"/>
    <w:rPr>
      <w:rFonts w:ascii="Arial" w:eastAsia="Times New Roman" w:hAnsi="Arial" w:cs="Arial"/>
      <w:b/>
      <w:sz w:val="26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semiHidden/>
    <w:rsid w:val="001A17CC"/>
    <w:rPr>
      <w:rFonts w:ascii="Arial" w:eastAsia="Times New Roman" w:hAnsi="Arial" w:cs="Arial"/>
      <w:b/>
      <w:sz w:val="26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semiHidden/>
    <w:rsid w:val="001A17CC"/>
    <w:rPr>
      <w:rFonts w:ascii="Times New Roman" w:eastAsia="Times New Roman" w:hAnsi="Times New Roman" w:cs="Times New Roman"/>
      <w:b/>
      <w:bCs/>
      <w:sz w:val="28"/>
      <w:szCs w:val="24"/>
      <w:u w:val="single"/>
      <w:lang w:eastAsia="zh-CN"/>
    </w:rPr>
  </w:style>
  <w:style w:type="character" w:customStyle="1" w:styleId="Cmsor4Char">
    <w:name w:val="Címsor 4 Char"/>
    <w:basedOn w:val="Bekezdsalapbettpusa"/>
    <w:link w:val="Cmsor4"/>
    <w:semiHidden/>
    <w:rsid w:val="001A17CC"/>
    <w:rPr>
      <w:rFonts w:ascii="Arial" w:eastAsia="Times New Roman" w:hAnsi="Arial" w:cs="Arial"/>
      <w:b/>
      <w:sz w:val="20"/>
      <w:szCs w:val="20"/>
      <w:u w:val="single"/>
      <w:lang w:eastAsia="zh-CN"/>
    </w:rPr>
  </w:style>
  <w:style w:type="character" w:customStyle="1" w:styleId="Cmsor5Char">
    <w:name w:val="Címsor 5 Char"/>
    <w:basedOn w:val="Bekezdsalapbettpusa"/>
    <w:link w:val="Cmsor5"/>
    <w:semiHidden/>
    <w:rsid w:val="001A17CC"/>
    <w:rPr>
      <w:rFonts w:ascii="Arial" w:eastAsia="Times New Roman" w:hAnsi="Arial" w:cs="Arial"/>
      <w:b/>
      <w:i/>
      <w:sz w:val="20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semiHidden/>
    <w:rsid w:val="001A17C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semiHidden/>
    <w:rsid w:val="001A17C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semiHidden/>
    <w:rsid w:val="001A17CC"/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semiHidden/>
    <w:rsid w:val="001A17CC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paragraph" w:styleId="Felsorols2">
    <w:name w:val="List Bullet 2"/>
    <w:basedOn w:val="Norml"/>
    <w:semiHidden/>
    <w:unhideWhenUsed/>
    <w:rsid w:val="001A17CC"/>
    <w:pPr>
      <w:widowControl/>
      <w:suppressAutoHyphens/>
      <w:autoSpaceDE/>
      <w:autoSpaceDN/>
      <w:adjustRightInd/>
      <w:ind w:left="566" w:hanging="283"/>
    </w:pPr>
    <w:rPr>
      <w:lang w:val="hu-HU" w:eastAsia="zh-CN"/>
    </w:rPr>
  </w:style>
  <w:style w:type="paragraph" w:styleId="Szvegtrzs">
    <w:name w:val="Body Text"/>
    <w:basedOn w:val="Norml"/>
    <w:link w:val="SzvegtrzsChar"/>
    <w:semiHidden/>
    <w:unhideWhenUsed/>
    <w:rsid w:val="001A17CC"/>
    <w:pPr>
      <w:suppressAutoHyphens/>
      <w:autoSpaceDE/>
      <w:autoSpaceDN/>
      <w:adjustRightInd/>
      <w:spacing w:after="140" w:line="288" w:lineRule="auto"/>
    </w:pPr>
    <w:rPr>
      <w:rFonts w:ascii="Liberation Serif" w:eastAsia="SimSun" w:hAnsi="Liberation Serif" w:cs="Mangal"/>
      <w:kern w:val="2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1A17C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1A17CC"/>
    <w:pPr>
      <w:widowControl/>
      <w:suppressAutoHyphens/>
      <w:autoSpaceDE/>
      <w:autoSpaceDN/>
      <w:adjustRightInd/>
      <w:jc w:val="both"/>
    </w:pPr>
    <w:rPr>
      <w:rFonts w:ascii="Arial" w:hAnsi="Arial" w:cs="Arial"/>
      <w:sz w:val="20"/>
      <w:szCs w:val="20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3</cp:revision>
  <dcterms:created xsi:type="dcterms:W3CDTF">2020-02-06T09:08:00Z</dcterms:created>
  <dcterms:modified xsi:type="dcterms:W3CDTF">2020-02-06T09:23:00Z</dcterms:modified>
</cp:coreProperties>
</file>