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35665" w14:textId="77777777" w:rsidR="00941F74" w:rsidRDefault="00941F74" w:rsidP="00941F74">
      <w:pPr>
        <w:widowControl/>
        <w:suppressAutoHyphens w:val="0"/>
        <w:autoSpaceDE w:val="0"/>
        <w:autoSpaceDN w:val="0"/>
        <w:adjustRightInd w:val="0"/>
        <w:ind w:left="2836" w:hanging="2836"/>
        <w:jc w:val="center"/>
        <w:rPr>
          <w:rFonts w:eastAsia="Times New Roman" w:cs="Times New Roman"/>
          <w:b/>
          <w:kern w:val="0"/>
          <w:lang w:eastAsia="hu-HU" w:bidi="ar-SA"/>
        </w:rPr>
      </w:pPr>
      <w:bookmarkStart w:id="0" w:name="_GoBack"/>
      <w:bookmarkEnd w:id="0"/>
      <w:r>
        <w:rPr>
          <w:rFonts w:eastAsia="Times New Roman" w:cs="Times New Roman"/>
          <w:b/>
          <w:kern w:val="0"/>
          <w:lang w:eastAsia="hu-HU" w:bidi="ar-SA"/>
        </w:rPr>
        <w:t>Általános Indokolás</w:t>
      </w:r>
    </w:p>
    <w:p w14:paraId="14263C08" w14:textId="77777777" w:rsidR="00941F74" w:rsidRDefault="00941F74" w:rsidP="00941F74">
      <w:pPr>
        <w:jc w:val="both"/>
        <w:rPr>
          <w:rFonts w:cs="Times New Roman"/>
        </w:rPr>
      </w:pPr>
    </w:p>
    <w:p w14:paraId="19D9C27F" w14:textId="77777777" w:rsidR="00941F74" w:rsidRPr="00425E24" w:rsidRDefault="00941F74" w:rsidP="00941F74">
      <w:pPr>
        <w:jc w:val="both"/>
        <w:rPr>
          <w:rFonts w:cs="Times New Roman"/>
        </w:rPr>
      </w:pPr>
      <w:r w:rsidRPr="00463C1C">
        <w:rPr>
          <w:rFonts w:cs="Times New Roman"/>
        </w:rPr>
        <w:t>Kecskemét Megyei Jogú Város Önkormányzata Közgyűlésének a Közgyűlés és Szervei Szervezeti és Működési Szabályzatáról szóló 4/2013. (II.14.) önkormányzati rendelete (a továbbiakban: SZMSZ)</w:t>
      </w:r>
      <w:r w:rsidRPr="00425E24">
        <w:rPr>
          <w:rFonts w:cs="Times New Roman"/>
        </w:rPr>
        <w:t xml:space="preserve"> </w:t>
      </w:r>
      <w:bookmarkStart w:id="1" w:name="_Hlk21175553"/>
      <w:r w:rsidRPr="00425E24">
        <w:rPr>
          <w:rFonts w:cs="Times New Roman"/>
        </w:rPr>
        <w:t>módosítás</w:t>
      </w:r>
      <w:r>
        <w:rPr>
          <w:rFonts w:cs="Times New Roman"/>
        </w:rPr>
        <w:t xml:space="preserve">ára vonatkozó javaslat </w:t>
      </w:r>
      <w:r w:rsidRPr="00425E24">
        <w:rPr>
          <w:rFonts w:cs="Times New Roman"/>
        </w:rPr>
        <w:t>az önkormányzat hatékonyabb működése</w:t>
      </w:r>
      <w:r>
        <w:rPr>
          <w:rFonts w:cs="Times New Roman"/>
        </w:rPr>
        <w:t>, valamint a változó</w:t>
      </w:r>
      <w:r w:rsidRPr="00425E24">
        <w:rPr>
          <w:rFonts w:cs="Times New Roman"/>
        </w:rPr>
        <w:t xml:space="preserve"> </w:t>
      </w:r>
      <w:r>
        <w:rPr>
          <w:rFonts w:cs="Times New Roman"/>
        </w:rPr>
        <w:t xml:space="preserve">magasabb szintű </w:t>
      </w:r>
      <w:r w:rsidRPr="00425E24">
        <w:rPr>
          <w:rFonts w:cs="Times New Roman"/>
        </w:rPr>
        <w:t xml:space="preserve">jogszabályi rendelkezéseknek való megfelelés céljából nélkülözhetetlen </w:t>
      </w:r>
      <w:r>
        <w:rPr>
          <w:rFonts w:cs="Times New Roman"/>
        </w:rPr>
        <w:t>rendelkezéseket</w:t>
      </w:r>
      <w:r w:rsidRPr="00425E24">
        <w:rPr>
          <w:rFonts w:cs="Times New Roman"/>
        </w:rPr>
        <w:t xml:space="preserve"> tartalmazza.</w:t>
      </w:r>
    </w:p>
    <w:bookmarkEnd w:id="1"/>
    <w:p w14:paraId="52072F78" w14:textId="77777777" w:rsidR="00941F74" w:rsidRPr="00A720FD" w:rsidRDefault="00941F74" w:rsidP="00941F74">
      <w:pPr>
        <w:jc w:val="both"/>
        <w:rPr>
          <w:rFonts w:cs="Times New Roman"/>
        </w:rPr>
      </w:pPr>
    </w:p>
    <w:p w14:paraId="78B4E44F" w14:textId="77777777" w:rsidR="00941F74" w:rsidRDefault="00941F74" w:rsidP="00941F7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hu-HU" w:bidi="ar-SA"/>
        </w:rPr>
      </w:pPr>
      <w:r>
        <w:rPr>
          <w:rFonts w:eastAsia="Times New Roman" w:cs="Times New Roman"/>
          <w:b/>
          <w:kern w:val="0"/>
          <w:lang w:eastAsia="hu-HU" w:bidi="ar-SA"/>
        </w:rPr>
        <w:t>Részletes Indokolás</w:t>
      </w:r>
    </w:p>
    <w:p w14:paraId="4EA7A31C" w14:textId="77777777" w:rsidR="00941F74" w:rsidRDefault="00941F74" w:rsidP="00941F74">
      <w:pPr>
        <w:jc w:val="both"/>
        <w:rPr>
          <w:u w:val="single"/>
        </w:rPr>
      </w:pPr>
    </w:p>
    <w:p w14:paraId="10293F1E" w14:textId="77777777" w:rsidR="00941F74" w:rsidRPr="005372A3" w:rsidRDefault="00941F74" w:rsidP="00941F74">
      <w:pPr>
        <w:jc w:val="both"/>
        <w:rPr>
          <w:u w:val="single"/>
        </w:rPr>
      </w:pPr>
      <w:r w:rsidRPr="005372A3">
        <w:rPr>
          <w:u w:val="single"/>
        </w:rPr>
        <w:t xml:space="preserve">A rendelet-tervezet </w:t>
      </w:r>
      <w:r>
        <w:rPr>
          <w:u w:val="single"/>
        </w:rPr>
        <w:t xml:space="preserve">1. § </w:t>
      </w:r>
      <w:r w:rsidRPr="005372A3">
        <w:rPr>
          <w:u w:val="single"/>
        </w:rPr>
        <w:t>-</w:t>
      </w:r>
      <w:r>
        <w:rPr>
          <w:u w:val="single"/>
        </w:rPr>
        <w:t xml:space="preserve"> 3</w:t>
      </w:r>
      <w:r w:rsidRPr="005372A3">
        <w:rPr>
          <w:u w:val="single"/>
        </w:rPr>
        <w:t>. §-</w:t>
      </w:r>
      <w:proofErr w:type="spellStart"/>
      <w:r w:rsidRPr="005372A3">
        <w:rPr>
          <w:u w:val="single"/>
        </w:rPr>
        <w:t>aihoz</w:t>
      </w:r>
      <w:proofErr w:type="spellEnd"/>
      <w:r>
        <w:rPr>
          <w:u w:val="single"/>
        </w:rPr>
        <w:t xml:space="preserve"> és 6. § b) pontjához:</w:t>
      </w:r>
    </w:p>
    <w:p w14:paraId="1967227D" w14:textId="77777777" w:rsidR="00941F74" w:rsidRDefault="00941F74" w:rsidP="00941F74">
      <w:pPr>
        <w:jc w:val="both"/>
        <w:rPr>
          <w:u w:val="single"/>
        </w:rPr>
      </w:pPr>
    </w:p>
    <w:p w14:paraId="24A2DEEB" w14:textId="77777777" w:rsidR="00941F74" w:rsidRDefault="00941F74" w:rsidP="00941F74">
      <w:pPr>
        <w:jc w:val="both"/>
      </w:pPr>
      <w:r w:rsidRPr="00D64E70">
        <w:t>A</w:t>
      </w:r>
      <w:r>
        <w:t>z 1. §</w:t>
      </w:r>
      <w:r w:rsidRPr="00D64E70">
        <w:t xml:space="preserve"> </w:t>
      </w:r>
      <w:r>
        <w:t xml:space="preserve">kiegészítő rendelkezéseket tartalmaz a tanácsadó testületek felállítása és azok működésének részletes szabályai vonatkozásában. A 14 egyéni választókerületben a tanácsadó testületek felállítása és működtetése az önkormányzat mindenkor hatályos költségvetési rendeletében választókerületi keret céljára biztosított forrás hatékonyabb, a demokratikus alapértékek szélesebb körű érvényesítése érdekében az adott egyéni választókerületben lakóknak a döntés előkészítés folyamatába való bevonásával történő felhasználását segítik elő. Ezen célok elérése érdekében a tanácsadó testületek jogosultak véleményt alkotni és javaslatot tenni a döntéshozónak. A 2. § a tanácsadó testületek tagjainak és tartalék tagjainak megválasztására vonatkozó hatáskört a Városstratégiai és Pénzügyi Bizottság hatáskörébe utalja, míg a 3. § alapján a tanácsadó testületek véleményének a figyelembevételével a </w:t>
      </w:r>
      <w:r w:rsidRPr="00C94E7D">
        <w:t xml:space="preserve">közösségi programok és városrészi fejlesztések finanszírozására </w:t>
      </w:r>
      <w:r>
        <w:t xml:space="preserve">szolgáló választókerületi keret felhasználásáról </w:t>
      </w:r>
      <w:r w:rsidRPr="00274943">
        <w:t>– az alapítványi forrás átadásának kivételével</w:t>
      </w:r>
      <w:r>
        <w:t>, amely át nem ruházható közgyűlési hatáskör</w:t>
      </w:r>
      <w:r w:rsidRPr="00274943">
        <w:t xml:space="preserve"> –</w:t>
      </w:r>
      <w:r>
        <w:t xml:space="preserve"> a polgármester dönt.</w:t>
      </w:r>
    </w:p>
    <w:p w14:paraId="174E981E" w14:textId="77777777" w:rsidR="00941F74" w:rsidRDefault="00941F74" w:rsidP="00941F74">
      <w:pPr>
        <w:jc w:val="both"/>
        <w:rPr>
          <w:u w:val="single"/>
        </w:rPr>
      </w:pPr>
    </w:p>
    <w:p w14:paraId="3D2E79F6" w14:textId="77777777" w:rsidR="00941F74" w:rsidRDefault="00941F74" w:rsidP="00941F74">
      <w:pPr>
        <w:jc w:val="both"/>
        <w:rPr>
          <w:u w:val="single"/>
        </w:rPr>
      </w:pPr>
      <w:r w:rsidRPr="00652277">
        <w:rPr>
          <w:u w:val="single"/>
        </w:rPr>
        <w:t xml:space="preserve">A rendelet-tervezet </w:t>
      </w:r>
      <w:r>
        <w:rPr>
          <w:u w:val="single"/>
        </w:rPr>
        <w:t>4.</w:t>
      </w:r>
      <w:r w:rsidRPr="00652277">
        <w:rPr>
          <w:u w:val="single"/>
        </w:rPr>
        <w:t xml:space="preserve"> §-</w:t>
      </w:r>
      <w:proofErr w:type="spellStart"/>
      <w:r>
        <w:rPr>
          <w:u w:val="single"/>
        </w:rPr>
        <w:t>á</w:t>
      </w:r>
      <w:r w:rsidRPr="00652277">
        <w:rPr>
          <w:u w:val="single"/>
        </w:rPr>
        <w:t>hoz</w:t>
      </w:r>
      <w:proofErr w:type="spellEnd"/>
      <w:r>
        <w:rPr>
          <w:u w:val="single"/>
        </w:rPr>
        <w:t xml:space="preserve"> és 6. § c) pontjához:</w:t>
      </w:r>
    </w:p>
    <w:p w14:paraId="3B099BA6" w14:textId="77777777" w:rsidR="00941F74" w:rsidRDefault="00941F74" w:rsidP="00941F74">
      <w:pPr>
        <w:jc w:val="both"/>
        <w:rPr>
          <w:u w:val="single"/>
        </w:rPr>
      </w:pPr>
    </w:p>
    <w:p w14:paraId="7AA4FB81" w14:textId="77777777" w:rsidR="00941F74" w:rsidRDefault="00941F74" w:rsidP="00941F74">
      <w:pPr>
        <w:jc w:val="both"/>
        <w:rPr>
          <w:bCs/>
        </w:rPr>
      </w:pPr>
      <w:r w:rsidRPr="0071618F">
        <w:rPr>
          <w:bCs/>
        </w:rPr>
        <w:t xml:space="preserve">Az SZMSZ 7. melléklet </w:t>
      </w:r>
      <w:r>
        <w:rPr>
          <w:bCs/>
        </w:rPr>
        <w:t>3</w:t>
      </w:r>
      <w:r w:rsidRPr="0071618F">
        <w:rPr>
          <w:bCs/>
        </w:rPr>
        <w:t>.</w:t>
      </w:r>
      <w:r>
        <w:rPr>
          <w:bCs/>
        </w:rPr>
        <w:t>2</w:t>
      </w:r>
      <w:r w:rsidRPr="0071618F">
        <w:rPr>
          <w:bCs/>
        </w:rPr>
        <w:t>.</w:t>
      </w:r>
      <w:r>
        <w:rPr>
          <w:bCs/>
        </w:rPr>
        <w:t>2</w:t>
      </w:r>
      <w:r w:rsidRPr="0071618F">
        <w:rPr>
          <w:bCs/>
        </w:rPr>
        <w:t>.</w:t>
      </w:r>
      <w:r>
        <w:rPr>
          <w:bCs/>
        </w:rPr>
        <w:t xml:space="preserve"> pontjának módosítását, és az SZMSZ 7. melléklet 3. pontjának 3.2.3. ponttal történő kiegészítését</w:t>
      </w:r>
      <w:r w:rsidRPr="0071618F">
        <w:rPr>
          <w:bCs/>
        </w:rPr>
        <w:t xml:space="preserve"> az indokolja, hogy az építésügyi és az építésfelügyeleti hatóságok kijelöléséről és működési feltételeiről szóló 343/2006. (XII. 23.) Korm. rendelet 1. §-</w:t>
      </w:r>
      <w:proofErr w:type="spellStart"/>
      <w:r>
        <w:rPr>
          <w:bCs/>
        </w:rPr>
        <w:t>ának</w:t>
      </w:r>
      <w:proofErr w:type="spellEnd"/>
      <w:r>
        <w:rPr>
          <w:bCs/>
        </w:rPr>
        <w:t xml:space="preserve"> 2020. március 1. napján hatályba lépő módosítása</w:t>
      </w:r>
      <w:r w:rsidRPr="0071618F">
        <w:rPr>
          <w:bCs/>
        </w:rPr>
        <w:t xml:space="preserve"> az építésügyi hatósági feladatokat ellátó általános építésügyi hatóságként az építmények, építési tevékenységek tekintetében a megyei kormányhivatalt jelöli ki</w:t>
      </w:r>
      <w:r>
        <w:rPr>
          <w:bCs/>
        </w:rPr>
        <w:t xml:space="preserve">. A jogszabályváltozás következtében </w:t>
      </w:r>
      <w:bookmarkStart w:id="2" w:name="_Hlk30770892"/>
      <w:r>
        <w:rPr>
          <w:bCs/>
        </w:rPr>
        <w:t>a Műszaki Osztály megszűnése mellett annak megmaradó környezetvédelmi feladatait a jövőben a Városüzemeltetési Osztályon</w:t>
      </w:r>
      <w:bookmarkEnd w:id="2"/>
      <w:r>
        <w:rPr>
          <w:bCs/>
        </w:rPr>
        <w:t xml:space="preserve"> belül létrejövő</w:t>
      </w:r>
      <w:r w:rsidRPr="00EF73AA">
        <w:rPr>
          <w:bCs/>
        </w:rPr>
        <w:t xml:space="preserve"> </w:t>
      </w:r>
      <w:r w:rsidRPr="00B44AD4">
        <w:rPr>
          <w:bCs/>
        </w:rPr>
        <w:t>Környezet</w:t>
      </w:r>
      <w:r>
        <w:rPr>
          <w:bCs/>
        </w:rPr>
        <w:t>fejlesztési</w:t>
      </w:r>
      <w:r w:rsidRPr="00B44AD4">
        <w:rPr>
          <w:bCs/>
        </w:rPr>
        <w:t xml:space="preserve"> </w:t>
      </w:r>
      <w:r>
        <w:rPr>
          <w:bCs/>
        </w:rPr>
        <w:t>C</w:t>
      </w:r>
      <w:r w:rsidRPr="00B44AD4">
        <w:rPr>
          <w:bCs/>
        </w:rPr>
        <w:t>soport</w:t>
      </w:r>
      <w:r>
        <w:rPr>
          <w:bCs/>
        </w:rPr>
        <w:t xml:space="preserve"> látja el. A </w:t>
      </w:r>
      <w:r w:rsidRPr="002866D4">
        <w:rPr>
          <w:bCs/>
        </w:rPr>
        <w:t>Városüzemeltetési Osztályon</w:t>
      </w:r>
      <w:r w:rsidRPr="00B44AD4">
        <w:rPr>
          <w:bCs/>
        </w:rPr>
        <w:t xml:space="preserve"> </w:t>
      </w:r>
      <w:r>
        <w:rPr>
          <w:bCs/>
        </w:rPr>
        <w:t xml:space="preserve">belül már jelenleg is működő </w:t>
      </w:r>
      <w:r w:rsidRPr="002866D4">
        <w:rPr>
          <w:bCs/>
        </w:rPr>
        <w:t xml:space="preserve">Közmű- és Közterületfejlesztési Csoport </w:t>
      </w:r>
      <w:r>
        <w:rPr>
          <w:bCs/>
        </w:rPr>
        <w:t xml:space="preserve">a jövőben </w:t>
      </w:r>
      <w:r w:rsidRPr="00B44AD4">
        <w:rPr>
          <w:bCs/>
        </w:rPr>
        <w:t>Beruházási, Közmű- és Közterületfejlesztési Csoport</w:t>
      </w:r>
      <w:r>
        <w:rPr>
          <w:bCs/>
        </w:rPr>
        <w:t xml:space="preserve"> elnevezéssel működik tovább feladatköreinek a beruházás előkészítéssel és bonyolítással összefüggő egyes feladatokkal történő kibővülése mellett.</w:t>
      </w:r>
    </w:p>
    <w:p w14:paraId="265179A7" w14:textId="77777777" w:rsidR="00941F74" w:rsidRDefault="00941F74" w:rsidP="00941F74">
      <w:pPr>
        <w:jc w:val="both"/>
        <w:rPr>
          <w:bCs/>
        </w:rPr>
      </w:pPr>
    </w:p>
    <w:p w14:paraId="1EB4C3D4" w14:textId="77777777" w:rsidR="00941F74" w:rsidRDefault="00941F74" w:rsidP="00941F74">
      <w:pPr>
        <w:jc w:val="both"/>
        <w:rPr>
          <w:bCs/>
        </w:rPr>
      </w:pPr>
      <w:r>
        <w:rPr>
          <w:bCs/>
        </w:rPr>
        <w:t>A Pályázatkezelési és Közbeszerzési Osztály feladatkörében felmerülő pályázatkezelési feladatok mennyiségére és összetettségére tekintettel, valamint a hatékonyabb munkamegosztás érdekében célszerű a szervezeti egységen belül a Projekt-koordinációs Csoport mellett a Pályázati Csoport létrehozása.</w:t>
      </w:r>
    </w:p>
    <w:p w14:paraId="17C94C6C" w14:textId="77777777" w:rsidR="00941F74" w:rsidRDefault="00941F74" w:rsidP="00941F74">
      <w:pPr>
        <w:jc w:val="both"/>
        <w:rPr>
          <w:bCs/>
        </w:rPr>
      </w:pPr>
    </w:p>
    <w:p w14:paraId="20858BC0" w14:textId="77777777" w:rsidR="00941F74" w:rsidRPr="00B44AD4" w:rsidRDefault="00941F74" w:rsidP="00941F74">
      <w:pPr>
        <w:jc w:val="both"/>
        <w:rPr>
          <w:bCs/>
        </w:rPr>
      </w:pPr>
      <w:r>
        <w:rPr>
          <w:bCs/>
        </w:rPr>
        <w:t xml:space="preserve">A Tisztelt Közgyűlés jelen napirendjén külön napirendi pontként szerepel Kecskemét Megyei Jogú Város Polgármesteri Hivatala Szervezeti és Működési Szabályzatának módosításáról szóló előterjesztés, amelyben részletesen bemutatásra került a feladatkörök változása. </w:t>
      </w:r>
    </w:p>
    <w:p w14:paraId="3E4F0749" w14:textId="77777777" w:rsidR="00941F74" w:rsidRDefault="00941F74" w:rsidP="00941F74">
      <w:pPr>
        <w:jc w:val="both"/>
        <w:rPr>
          <w:u w:val="single"/>
        </w:rPr>
      </w:pPr>
    </w:p>
    <w:p w14:paraId="78D760BF" w14:textId="77777777" w:rsidR="00941F74" w:rsidRPr="007146F2" w:rsidRDefault="00941F74" w:rsidP="00941F74">
      <w:pPr>
        <w:jc w:val="both"/>
        <w:rPr>
          <w:u w:val="single"/>
        </w:rPr>
      </w:pPr>
      <w:r w:rsidRPr="007146F2">
        <w:rPr>
          <w:u w:val="single"/>
        </w:rPr>
        <w:lastRenderedPageBreak/>
        <w:t xml:space="preserve">A rendelet-tervezet </w:t>
      </w:r>
      <w:r>
        <w:rPr>
          <w:u w:val="single"/>
        </w:rPr>
        <w:t>5</w:t>
      </w:r>
      <w:r w:rsidRPr="007146F2">
        <w:rPr>
          <w:u w:val="single"/>
        </w:rPr>
        <w:t>.§-</w:t>
      </w:r>
      <w:proofErr w:type="spellStart"/>
      <w:r w:rsidRPr="007146F2">
        <w:rPr>
          <w:u w:val="single"/>
        </w:rPr>
        <w:t>ához</w:t>
      </w:r>
      <w:proofErr w:type="spellEnd"/>
      <w:r>
        <w:rPr>
          <w:u w:val="single"/>
        </w:rPr>
        <w:t>:</w:t>
      </w:r>
    </w:p>
    <w:p w14:paraId="79A7686F" w14:textId="77777777" w:rsidR="00941F74" w:rsidRDefault="00941F74" w:rsidP="00941F74">
      <w:pPr>
        <w:jc w:val="both"/>
        <w:rPr>
          <w:u w:val="single"/>
        </w:rPr>
      </w:pPr>
    </w:p>
    <w:p w14:paraId="265E5DA4" w14:textId="77777777" w:rsidR="00941F74" w:rsidRDefault="00941F74" w:rsidP="00941F74">
      <w:pPr>
        <w:widowControl/>
        <w:suppressAutoHyphens w:val="0"/>
        <w:jc w:val="both"/>
        <w:rPr>
          <w:rFonts w:eastAsia="Calibri" w:cs="Times New Roman"/>
          <w:bCs/>
          <w:kern w:val="0"/>
          <w:lang w:eastAsia="hu-HU" w:bidi="ar-SA"/>
        </w:rPr>
      </w:pPr>
      <w:r>
        <w:rPr>
          <w:rFonts w:eastAsia="Calibri" w:cs="Times New Roman"/>
          <w:kern w:val="0"/>
          <w:lang w:eastAsia="hu-HU" w:bidi="ar-SA"/>
        </w:rPr>
        <w:t>Jelenleg</w:t>
      </w:r>
      <w:r w:rsidRPr="0057033A">
        <w:rPr>
          <w:rFonts w:eastAsia="Calibri" w:cs="Times New Roman"/>
          <w:kern w:val="0"/>
          <w:lang w:eastAsia="hu-HU" w:bidi="ar-SA"/>
        </w:rPr>
        <w:t xml:space="preserve"> </w:t>
      </w:r>
      <w:r>
        <w:rPr>
          <w:rFonts w:eastAsia="Calibri" w:cs="Times New Roman"/>
          <w:kern w:val="0"/>
          <w:lang w:eastAsia="hu-HU" w:bidi="ar-SA"/>
        </w:rPr>
        <w:t>Kecskemét Megyei Jogú Város Polgármesteri Hivatala</w:t>
      </w:r>
      <w:r w:rsidRPr="0057033A">
        <w:rPr>
          <w:rFonts w:eastAsia="Calibri" w:cs="Times New Roman"/>
          <w:kern w:val="0"/>
          <w:lang w:eastAsia="hu-HU" w:bidi="ar-SA"/>
        </w:rPr>
        <w:t xml:space="preserve"> Hetényegyházi Kirendeltség látja el a hagyatéki, póthagyatéki és leltározási feladatokat a 6044 irányítószámú bejelentett lakóhelyen, tartózkodási helyen életvitelszerűen lakók tekintetében. </w:t>
      </w:r>
      <w:r w:rsidRPr="0057033A">
        <w:rPr>
          <w:rFonts w:eastAsia="Calibri" w:cs="Times New Roman"/>
          <w:bCs/>
          <w:kern w:val="0"/>
          <w:lang w:eastAsia="hu-HU" w:bidi="ar-SA"/>
        </w:rPr>
        <w:t>A hagyatéki eljárásról szóló 2010. évi XXXVIII. törvény 2020. február 1</w:t>
      </w:r>
      <w:r>
        <w:rPr>
          <w:rFonts w:eastAsia="Calibri" w:cs="Times New Roman"/>
          <w:bCs/>
          <w:kern w:val="0"/>
          <w:lang w:eastAsia="hu-HU" w:bidi="ar-SA"/>
        </w:rPr>
        <w:t>. napjától jelentősen módosította a jegyző hatáskörébe tartozó szabályokat,</w:t>
      </w:r>
      <w:r w:rsidRPr="0057033A">
        <w:rPr>
          <w:rFonts w:eastAsia="Calibri" w:cs="Times New Roman"/>
          <w:bCs/>
          <w:kern w:val="0"/>
          <w:lang w:eastAsia="hu-HU" w:bidi="ar-SA"/>
        </w:rPr>
        <w:t xml:space="preserve"> </w:t>
      </w:r>
      <w:r>
        <w:rPr>
          <w:rFonts w:eastAsia="Calibri" w:cs="Times New Roman"/>
          <w:bCs/>
          <w:kern w:val="0"/>
          <w:lang w:eastAsia="hu-HU" w:bidi="ar-SA"/>
        </w:rPr>
        <w:t>í</w:t>
      </w:r>
      <w:r w:rsidRPr="0057033A">
        <w:rPr>
          <w:rFonts w:eastAsia="Calibri" w:cs="Times New Roman"/>
          <w:bCs/>
          <w:kern w:val="0"/>
          <w:lang w:eastAsia="hu-HU" w:bidi="ar-SA"/>
        </w:rPr>
        <w:t>gy a szakszerűség biztosítása érdekében célszerű, hogy ezeket az ügyeket ne a kirendeltségen intézze a hivatal</w:t>
      </w:r>
      <w:r>
        <w:rPr>
          <w:rFonts w:eastAsia="Calibri" w:cs="Times New Roman"/>
          <w:bCs/>
          <w:kern w:val="0"/>
          <w:lang w:eastAsia="hu-HU" w:bidi="ar-SA"/>
        </w:rPr>
        <w:t>. Mindezekre tekintettel a feladatok átcsoportosítása indokolttá teszi a Hetényegyházi Kirendeltség ügyfélfogadási idejére vonatkozó szabályok módosítását.</w:t>
      </w:r>
    </w:p>
    <w:p w14:paraId="0D3B250A" w14:textId="77777777" w:rsidR="00941F74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u w:val="single"/>
        </w:rPr>
      </w:pPr>
    </w:p>
    <w:p w14:paraId="3108968C" w14:textId="77777777" w:rsidR="00941F74" w:rsidRPr="00313CF7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u w:val="single"/>
        </w:rPr>
      </w:pPr>
      <w:r w:rsidRPr="00313CF7">
        <w:rPr>
          <w:rFonts w:cs="Times New Roman"/>
          <w:u w:val="single"/>
        </w:rPr>
        <w:t xml:space="preserve">A rendelet-tervezet </w:t>
      </w:r>
      <w:r>
        <w:rPr>
          <w:rFonts w:cs="Times New Roman"/>
          <w:u w:val="single"/>
        </w:rPr>
        <w:t>6</w:t>
      </w:r>
      <w:r w:rsidRPr="00313CF7">
        <w:rPr>
          <w:rFonts w:cs="Times New Roman"/>
          <w:u w:val="single"/>
        </w:rPr>
        <w:t>.</w:t>
      </w:r>
      <w:r>
        <w:rPr>
          <w:rFonts w:cs="Times New Roman"/>
          <w:u w:val="single"/>
        </w:rPr>
        <w:t xml:space="preserve"> </w:t>
      </w:r>
      <w:r w:rsidRPr="00313CF7">
        <w:rPr>
          <w:rFonts w:cs="Times New Roman"/>
          <w:u w:val="single"/>
        </w:rPr>
        <w:t>§-</w:t>
      </w:r>
      <w:proofErr w:type="spellStart"/>
      <w:r w:rsidRPr="00313CF7">
        <w:rPr>
          <w:rFonts w:cs="Times New Roman"/>
          <w:u w:val="single"/>
        </w:rPr>
        <w:t>ához</w:t>
      </w:r>
      <w:proofErr w:type="spellEnd"/>
    </w:p>
    <w:p w14:paraId="31844F41" w14:textId="77777777" w:rsidR="00941F74" w:rsidRPr="00313CF7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14:paraId="3BE134A6" w14:textId="77777777" w:rsidR="00941F74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Cs/>
          <w:iCs/>
        </w:rPr>
      </w:pPr>
      <w:r w:rsidRPr="00313CF7">
        <w:rPr>
          <w:rFonts w:cs="Times New Roman"/>
        </w:rPr>
        <w:t>A § hatályon k</w:t>
      </w:r>
      <w:r>
        <w:rPr>
          <w:rFonts w:cs="Times New Roman"/>
        </w:rPr>
        <w:t>í</w:t>
      </w:r>
      <w:r w:rsidRPr="00313CF7">
        <w:rPr>
          <w:rFonts w:cs="Times New Roman"/>
        </w:rPr>
        <w:t>vül helyező rendelkezéseket tartalmaz</w:t>
      </w:r>
      <w:r>
        <w:rPr>
          <w:rFonts w:cs="Times New Roman"/>
          <w:bCs/>
        </w:rPr>
        <w:t>.</w:t>
      </w:r>
    </w:p>
    <w:p w14:paraId="49AD9B72" w14:textId="77777777" w:rsidR="00941F74" w:rsidRPr="00313CF7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14:paraId="243147C5" w14:textId="77777777" w:rsidR="00941F74" w:rsidRDefault="00941F74" w:rsidP="00941F74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A rendelet-tervezet 7</w:t>
      </w:r>
      <w:r w:rsidRPr="00695CC0">
        <w:rPr>
          <w:rFonts w:cs="Times New Roman"/>
          <w:u w:val="single"/>
        </w:rPr>
        <w:t>.</w:t>
      </w:r>
      <w:r>
        <w:rPr>
          <w:rFonts w:cs="Times New Roman"/>
          <w:u w:val="single"/>
        </w:rPr>
        <w:t xml:space="preserve"> </w:t>
      </w:r>
      <w:r w:rsidRPr="00695CC0">
        <w:rPr>
          <w:rFonts w:cs="Times New Roman"/>
          <w:u w:val="single"/>
        </w:rPr>
        <w:t>§-</w:t>
      </w:r>
      <w:proofErr w:type="spellStart"/>
      <w:r w:rsidRPr="00695CC0">
        <w:rPr>
          <w:rFonts w:cs="Times New Roman"/>
          <w:u w:val="single"/>
        </w:rPr>
        <w:t>ához</w:t>
      </w:r>
      <w:proofErr w:type="spellEnd"/>
    </w:p>
    <w:p w14:paraId="119B24DD" w14:textId="77777777" w:rsidR="00941F74" w:rsidRDefault="00941F74" w:rsidP="00941F74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lang w:eastAsia="hu-HU"/>
        </w:rPr>
      </w:pPr>
    </w:p>
    <w:p w14:paraId="07E1F307" w14:textId="77777777" w:rsidR="00941F74" w:rsidRDefault="00941F74" w:rsidP="00941F74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lang w:eastAsia="hu-HU"/>
        </w:rPr>
      </w:pPr>
      <w:r>
        <w:rPr>
          <w:rFonts w:eastAsia="Calibri" w:cs="Times New Roman"/>
          <w:lang w:eastAsia="hu-HU"/>
        </w:rPr>
        <w:t xml:space="preserve">A § hatályba lépéssel kapcsolatos rendelkezéseket tartalmaz. </w:t>
      </w:r>
    </w:p>
    <w:p w14:paraId="023504A0" w14:textId="77777777" w:rsidR="00941F74" w:rsidRDefault="00941F74" w:rsidP="00941F74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lang w:eastAsia="hu-HU"/>
        </w:rPr>
      </w:pPr>
    </w:p>
    <w:p w14:paraId="46FF20A0" w14:textId="77777777" w:rsidR="004419B3" w:rsidRDefault="004419B3"/>
    <w:sectPr w:rsidR="00441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74"/>
    <w:rsid w:val="003965D0"/>
    <w:rsid w:val="003D3C0C"/>
    <w:rsid w:val="004419B3"/>
    <w:rsid w:val="0094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5736"/>
  <w15:chartTrackingRefBased/>
  <w15:docId w15:val="{26342D71-2B98-44EC-A441-9569DEA7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1F7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Pataki Gyöngyi</dc:creator>
  <cp:keywords/>
  <dc:description/>
  <cp:lastModifiedBy>Dr. Orbánné Veres Ildiko</cp:lastModifiedBy>
  <cp:revision>2</cp:revision>
  <dcterms:created xsi:type="dcterms:W3CDTF">2020-02-14T10:37:00Z</dcterms:created>
  <dcterms:modified xsi:type="dcterms:W3CDTF">2020-02-14T10:37:00Z</dcterms:modified>
</cp:coreProperties>
</file>