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E63" w:rsidRPr="00674E63" w:rsidRDefault="00674E63" w:rsidP="00674E63">
      <w:pPr>
        <w:keepNext/>
        <w:keepLines/>
        <w:autoSpaceDE w:val="0"/>
        <w:autoSpaceDN w:val="0"/>
        <w:adjustRightInd w:val="0"/>
        <w:spacing w:after="0" w:line="240" w:lineRule="auto"/>
        <w:jc w:val="right"/>
        <w:rPr>
          <w:rFonts w:ascii="Century Gothic" w:eastAsia="Times New Roman" w:hAnsi="Century Gothic" w:cs="Times New Roman"/>
          <w:b/>
          <w:i/>
          <w:sz w:val="20"/>
          <w:szCs w:val="20"/>
        </w:rPr>
      </w:pPr>
      <w:r w:rsidRPr="00674E63">
        <w:rPr>
          <w:rFonts w:ascii="Century Gothic" w:eastAsia="Times New Roman" w:hAnsi="Century Gothic" w:cs="Times New Roman"/>
          <w:b/>
          <w:i/>
          <w:sz w:val="20"/>
          <w:szCs w:val="20"/>
        </w:rPr>
        <w:t>2. sz. függelék</w:t>
      </w:r>
    </w:p>
    <w:p w:rsidR="00674E63" w:rsidRPr="00674E63" w:rsidRDefault="00674E63" w:rsidP="00674E63">
      <w:pPr>
        <w:keepNext/>
        <w:keepLines/>
        <w:autoSpaceDE w:val="0"/>
        <w:autoSpaceDN w:val="0"/>
        <w:adjustRightInd w:val="0"/>
        <w:spacing w:after="0" w:line="240" w:lineRule="auto"/>
        <w:jc w:val="center"/>
        <w:rPr>
          <w:rFonts w:ascii="Century Gothic" w:eastAsia="Times New Roman" w:hAnsi="Century Gothic" w:cs="Times New Roman"/>
          <w:b/>
          <w:bCs/>
          <w:sz w:val="20"/>
          <w:szCs w:val="20"/>
        </w:rPr>
      </w:pPr>
      <w:r w:rsidRPr="00674E63">
        <w:rPr>
          <w:rFonts w:ascii="Century Gothic" w:eastAsia="Times New Roman" w:hAnsi="Century Gothic" w:cs="Times New Roman"/>
          <w:b/>
          <w:bCs/>
          <w:sz w:val="20"/>
          <w:szCs w:val="20"/>
        </w:rPr>
        <w:t>Licittárgyalási Szabályzat</w:t>
      </w:r>
    </w:p>
    <w:p w:rsidR="00674E63" w:rsidRPr="00674E63" w:rsidRDefault="00674E63" w:rsidP="00674E63">
      <w:pPr>
        <w:keepNext/>
        <w:keepLines/>
        <w:autoSpaceDE w:val="0"/>
        <w:autoSpaceDN w:val="0"/>
        <w:adjustRightInd w:val="0"/>
        <w:spacing w:after="0" w:line="240" w:lineRule="auto"/>
        <w:jc w:val="center"/>
        <w:rPr>
          <w:rFonts w:ascii="Century Gothic" w:eastAsia="Times New Roman" w:hAnsi="Century Gothic" w:cs="Times New Roman"/>
          <w:b/>
          <w:bCs/>
          <w:sz w:val="20"/>
          <w:szCs w:val="20"/>
        </w:rPr>
      </w:pPr>
    </w:p>
    <w:p w:rsidR="00674E63" w:rsidRPr="00674E63" w:rsidRDefault="00674E63" w:rsidP="00674E63">
      <w:pPr>
        <w:keepNext/>
        <w:keepLines/>
        <w:autoSpaceDE w:val="0"/>
        <w:autoSpaceDN w:val="0"/>
        <w:adjustRightInd w:val="0"/>
        <w:spacing w:after="0" w:line="240" w:lineRule="auto"/>
        <w:jc w:val="center"/>
        <w:rPr>
          <w:rFonts w:ascii="Century Gothic" w:eastAsia="Times New Roman" w:hAnsi="Century Gothic" w:cs="Times New Roman"/>
          <w:b/>
          <w:bCs/>
          <w:sz w:val="20"/>
          <w:szCs w:val="20"/>
        </w:rPr>
      </w:pPr>
      <w:r w:rsidRPr="00674E63">
        <w:rPr>
          <w:rFonts w:ascii="Century Gothic" w:eastAsia="Times New Roman" w:hAnsi="Century Gothic" w:cs="Times New Roman"/>
          <w:b/>
          <w:bCs/>
          <w:sz w:val="20"/>
          <w:szCs w:val="20"/>
        </w:rPr>
        <w:t>Az önkormányzati vállalkozói vagyon licittárgyalás</w:t>
      </w:r>
    </w:p>
    <w:p w:rsidR="00674E63" w:rsidRPr="00674E63" w:rsidRDefault="00674E63" w:rsidP="00674E63">
      <w:pPr>
        <w:keepNext/>
        <w:keepLines/>
        <w:autoSpaceDE w:val="0"/>
        <w:autoSpaceDN w:val="0"/>
        <w:adjustRightInd w:val="0"/>
        <w:spacing w:after="0" w:line="240" w:lineRule="auto"/>
        <w:jc w:val="center"/>
        <w:rPr>
          <w:rFonts w:ascii="Century Gothic" w:eastAsia="Times New Roman" w:hAnsi="Century Gothic" w:cs="Times New Roman"/>
          <w:b/>
          <w:bCs/>
          <w:sz w:val="20"/>
          <w:szCs w:val="20"/>
        </w:rPr>
      </w:pPr>
      <w:proofErr w:type="gramStart"/>
      <w:r w:rsidRPr="00674E63">
        <w:rPr>
          <w:rFonts w:ascii="Century Gothic" w:eastAsia="Times New Roman" w:hAnsi="Century Gothic" w:cs="Times New Roman"/>
          <w:b/>
          <w:bCs/>
          <w:sz w:val="20"/>
          <w:szCs w:val="20"/>
        </w:rPr>
        <w:t>útján</w:t>
      </w:r>
      <w:proofErr w:type="gramEnd"/>
      <w:r w:rsidRPr="00674E63">
        <w:rPr>
          <w:rFonts w:ascii="Century Gothic" w:eastAsia="Times New Roman" w:hAnsi="Century Gothic" w:cs="Times New Roman"/>
          <w:b/>
          <w:bCs/>
          <w:sz w:val="20"/>
          <w:szCs w:val="20"/>
        </w:rPr>
        <w:t xml:space="preserve"> történő értékesítésének szabályzata</w:t>
      </w:r>
    </w:p>
    <w:p w:rsidR="00674E63" w:rsidRPr="00674E63" w:rsidRDefault="00674E63" w:rsidP="00674E63">
      <w:pPr>
        <w:keepNext/>
        <w:keepLines/>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keepNext/>
        <w:keepLines/>
        <w:autoSpaceDE w:val="0"/>
        <w:autoSpaceDN w:val="0"/>
        <w:adjustRightInd w:val="0"/>
        <w:spacing w:after="0" w:line="240" w:lineRule="auto"/>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jelen szabályzat célja az, hogy:</w:t>
      </w:r>
    </w:p>
    <w:p w:rsidR="00674E63" w:rsidRPr="00674E63" w:rsidRDefault="00674E63" w:rsidP="00674E63">
      <w:pPr>
        <w:keepNext/>
        <w:keepLines/>
        <w:numPr>
          <w:ilvl w:val="1"/>
          <w:numId w:val="1"/>
        </w:numPr>
        <w:autoSpaceDE w:val="0"/>
        <w:autoSpaceDN w:val="0"/>
        <w:adjustRightInd w:val="0"/>
        <w:spacing w:after="0" w:line="240" w:lineRule="auto"/>
        <w:ind w:left="1361" w:hanging="284"/>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meghatározza az önkormányzat vállalkozói vagyonának licittárgyalás útján történő értékesítési módját,</w:t>
      </w:r>
    </w:p>
    <w:p w:rsidR="00674E63" w:rsidRPr="00674E63" w:rsidRDefault="00674E63" w:rsidP="00674E63">
      <w:pPr>
        <w:keepNext/>
        <w:keepLines/>
        <w:numPr>
          <w:ilvl w:val="1"/>
          <w:numId w:val="1"/>
        </w:numPr>
        <w:autoSpaceDE w:val="0"/>
        <w:autoSpaceDN w:val="0"/>
        <w:adjustRightInd w:val="0"/>
        <w:spacing w:after="0" w:line="240" w:lineRule="auto"/>
        <w:ind w:left="1361" w:hanging="284"/>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szabályozza a licittárgyalás útján történő értékesítés előkészítéséhez és lebonyolításához kapcsolódó feladatokat,</w:t>
      </w:r>
    </w:p>
    <w:p w:rsidR="00674E63" w:rsidRPr="00674E63" w:rsidRDefault="00674E63" w:rsidP="00674E63">
      <w:pPr>
        <w:keepNext/>
        <w:keepLines/>
        <w:numPr>
          <w:ilvl w:val="1"/>
          <w:numId w:val="1"/>
        </w:numPr>
        <w:autoSpaceDE w:val="0"/>
        <w:autoSpaceDN w:val="0"/>
        <w:adjustRightInd w:val="0"/>
        <w:spacing w:after="0" w:line="240" w:lineRule="auto"/>
        <w:ind w:left="1361" w:hanging="284"/>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biztosítsa a pályázók számára a licittárgyalás során az azonos pályázati és licitálási feltételeket,</w:t>
      </w:r>
    </w:p>
    <w:p w:rsidR="00674E63" w:rsidRPr="00674E63" w:rsidRDefault="00674E63" w:rsidP="00674E63">
      <w:pPr>
        <w:keepNext/>
        <w:keepLines/>
        <w:numPr>
          <w:ilvl w:val="1"/>
          <w:numId w:val="1"/>
        </w:numPr>
        <w:autoSpaceDE w:val="0"/>
        <w:autoSpaceDN w:val="0"/>
        <w:adjustRightInd w:val="0"/>
        <w:spacing w:after="0" w:line="240" w:lineRule="auto"/>
        <w:ind w:left="1361" w:hanging="284"/>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juttassa érvényre a nyilvánosság és az esélyegyenlőség elvét.</w:t>
      </w:r>
    </w:p>
    <w:p w:rsidR="00674E63" w:rsidRPr="00674E63" w:rsidRDefault="00674E63" w:rsidP="00674E63">
      <w:pPr>
        <w:keepNext/>
        <w:keepLines/>
        <w:autoSpaceDE w:val="0"/>
        <w:autoSpaceDN w:val="0"/>
        <w:adjustRightInd w:val="0"/>
        <w:spacing w:after="0" w:line="240" w:lineRule="auto"/>
        <w:rPr>
          <w:rFonts w:ascii="Century Gothic" w:eastAsia="Times New Roman" w:hAnsi="Century Gothic" w:cs="Times New Roman"/>
          <w:b/>
          <w:bCs/>
          <w:sz w:val="20"/>
          <w:szCs w:val="20"/>
        </w:rPr>
      </w:pPr>
    </w:p>
    <w:p w:rsidR="00674E63" w:rsidRPr="00674E63" w:rsidRDefault="00674E63" w:rsidP="00674E63">
      <w:pPr>
        <w:keepNext/>
        <w:keepLines/>
        <w:autoSpaceDE w:val="0"/>
        <w:autoSpaceDN w:val="0"/>
        <w:adjustRightInd w:val="0"/>
        <w:spacing w:after="0" w:line="240" w:lineRule="auto"/>
        <w:jc w:val="center"/>
        <w:rPr>
          <w:rFonts w:ascii="Century Gothic" w:eastAsia="Times New Roman" w:hAnsi="Century Gothic" w:cs="Times New Roman"/>
          <w:b/>
          <w:bCs/>
          <w:sz w:val="20"/>
          <w:szCs w:val="20"/>
        </w:rPr>
      </w:pPr>
      <w:r w:rsidRPr="00674E63">
        <w:rPr>
          <w:rFonts w:ascii="Century Gothic" w:eastAsia="Times New Roman" w:hAnsi="Century Gothic" w:cs="Times New Roman"/>
          <w:b/>
          <w:bCs/>
          <w:sz w:val="20"/>
          <w:szCs w:val="20"/>
        </w:rPr>
        <w:t>A pályázati hirdetmény és annak tartalma</w:t>
      </w:r>
    </w:p>
    <w:p w:rsidR="00674E63" w:rsidRPr="00674E63" w:rsidRDefault="00674E63" w:rsidP="00674E63">
      <w:pPr>
        <w:autoSpaceDE w:val="0"/>
        <w:autoSpaceDN w:val="0"/>
        <w:adjustRightInd w:val="0"/>
        <w:spacing w:after="0" w:line="240" w:lineRule="auto"/>
        <w:jc w:val="center"/>
        <w:rPr>
          <w:rFonts w:ascii="Century Gothic" w:eastAsia="Times New Roman" w:hAnsi="Century Gothic" w:cs="Times New Roman"/>
          <w:b/>
          <w:bCs/>
          <w:sz w:val="20"/>
          <w:szCs w:val="20"/>
        </w:rPr>
      </w:pPr>
    </w:p>
    <w:p w:rsidR="00674E63" w:rsidRPr="00674E63" w:rsidRDefault="00674E63" w:rsidP="00674E63">
      <w:pPr>
        <w:numPr>
          <w:ilvl w:val="0"/>
          <w:numId w:val="2"/>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Az értékesítési feltételeket tartalmazó pályázati hirdetmény megyei, vagy helyi lapban történő közzétételéért a tulajdonos Képviselő-testület felhatalmazása alapján a lebonyolító a felelős.</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2"/>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pályázati hirdetménynek tartalmaznia kell:</w:t>
      </w:r>
    </w:p>
    <w:p w:rsidR="00674E63" w:rsidRPr="00674E63" w:rsidRDefault="00674E63" w:rsidP="00674E63">
      <w:pPr>
        <w:numPr>
          <w:ilvl w:val="1"/>
          <w:numId w:val="3"/>
        </w:numPr>
        <w:autoSpaceDE w:val="0"/>
        <w:autoSpaceDN w:val="0"/>
        <w:adjustRightInd w:val="0"/>
        <w:spacing w:before="80" w:after="0" w:line="240" w:lineRule="auto"/>
        <w:ind w:left="1361" w:hanging="284"/>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pályázat célját, tájékoztatást az értékesítendő vagyontárgyról,</w:t>
      </w:r>
    </w:p>
    <w:p w:rsidR="00674E63" w:rsidRPr="00674E63" w:rsidRDefault="00674E63" w:rsidP="00674E63">
      <w:pPr>
        <w:numPr>
          <w:ilvl w:val="1"/>
          <w:numId w:val="3"/>
        </w:numPr>
        <w:autoSpaceDE w:val="0"/>
        <w:autoSpaceDN w:val="0"/>
        <w:adjustRightInd w:val="0"/>
        <w:spacing w:before="80" w:after="0" w:line="240" w:lineRule="auto"/>
        <w:ind w:left="1361" w:hanging="284"/>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az értékesítendő önkormányzati vagyon ingatlan-nyilvántartási adatait, és az ingatlanhoz kapcsolódóan az ingatlan-nyilvántartásba bejegyzett lényegesebb jogokat és tényeket,</w:t>
      </w:r>
    </w:p>
    <w:p w:rsidR="00674E63" w:rsidRPr="00674E63" w:rsidRDefault="00674E63" w:rsidP="00674E63">
      <w:pPr>
        <w:numPr>
          <w:ilvl w:val="1"/>
          <w:numId w:val="3"/>
        </w:numPr>
        <w:autoSpaceDE w:val="0"/>
        <w:autoSpaceDN w:val="0"/>
        <w:adjustRightInd w:val="0"/>
        <w:spacing w:before="80" w:after="0" w:line="240" w:lineRule="auto"/>
        <w:ind w:left="1361" w:hanging="284"/>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az ingatlan forgalmi értékét, közműellátottságát,</w:t>
      </w:r>
    </w:p>
    <w:p w:rsidR="00674E63" w:rsidRPr="00674E63" w:rsidRDefault="00674E63" w:rsidP="00674E63">
      <w:pPr>
        <w:numPr>
          <w:ilvl w:val="1"/>
          <w:numId w:val="3"/>
        </w:numPr>
        <w:autoSpaceDE w:val="0"/>
        <w:autoSpaceDN w:val="0"/>
        <w:adjustRightInd w:val="0"/>
        <w:spacing w:before="80" w:after="0" w:line="240" w:lineRule="auto"/>
        <w:ind w:left="1361" w:hanging="284"/>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az induló licitárat,</w:t>
      </w:r>
    </w:p>
    <w:p w:rsidR="00674E63" w:rsidRPr="00674E63" w:rsidRDefault="00674E63" w:rsidP="00674E63">
      <w:pPr>
        <w:numPr>
          <w:ilvl w:val="1"/>
          <w:numId w:val="3"/>
        </w:numPr>
        <w:autoSpaceDE w:val="0"/>
        <w:autoSpaceDN w:val="0"/>
        <w:adjustRightInd w:val="0"/>
        <w:spacing w:before="80" w:after="0" w:line="240" w:lineRule="auto"/>
        <w:ind w:left="1361" w:hanging="284"/>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az értékesítésre vonatkozó fontosabb feltételeket, a fizetés módjára, valamint a pénzügyi garanciákra vonatkozó előírásokat,</w:t>
      </w:r>
    </w:p>
    <w:p w:rsidR="00674E63" w:rsidRPr="00674E63" w:rsidRDefault="00674E63" w:rsidP="00674E63">
      <w:pPr>
        <w:numPr>
          <w:ilvl w:val="1"/>
          <w:numId w:val="3"/>
        </w:numPr>
        <w:autoSpaceDE w:val="0"/>
        <w:autoSpaceDN w:val="0"/>
        <w:adjustRightInd w:val="0"/>
        <w:spacing w:before="80" w:after="0" w:line="240" w:lineRule="auto"/>
        <w:ind w:left="1361" w:hanging="284"/>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licittárgyaláson való részvétel feltételét, a licittárgyalás időpontját, helyét,</w:t>
      </w:r>
    </w:p>
    <w:p w:rsidR="00674E63" w:rsidRPr="00674E63" w:rsidRDefault="00674E63" w:rsidP="00674E63">
      <w:pPr>
        <w:numPr>
          <w:ilvl w:val="1"/>
          <w:numId w:val="3"/>
        </w:numPr>
        <w:autoSpaceDE w:val="0"/>
        <w:autoSpaceDN w:val="0"/>
        <w:adjustRightInd w:val="0"/>
        <w:spacing w:before="80" w:after="0" w:line="240" w:lineRule="auto"/>
        <w:ind w:left="1361" w:hanging="284"/>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pályázati biztosíték mértékét és befizetésének módját, helyét és idejét,</w:t>
      </w:r>
    </w:p>
    <w:p w:rsidR="00674E63" w:rsidRPr="00674E63" w:rsidRDefault="00674E63" w:rsidP="00674E63">
      <w:pPr>
        <w:numPr>
          <w:ilvl w:val="1"/>
          <w:numId w:val="3"/>
        </w:numPr>
        <w:autoSpaceDE w:val="0"/>
        <w:autoSpaceDN w:val="0"/>
        <w:adjustRightInd w:val="0"/>
        <w:spacing w:before="80" w:after="0" w:line="240" w:lineRule="auto"/>
        <w:ind w:left="1361" w:hanging="284"/>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licittárgyalás eredménytelenségének feltételeit,</w:t>
      </w:r>
    </w:p>
    <w:p w:rsidR="00674E63" w:rsidRPr="00674E63" w:rsidRDefault="00674E63" w:rsidP="00674E63">
      <w:pPr>
        <w:numPr>
          <w:ilvl w:val="1"/>
          <w:numId w:val="3"/>
        </w:numPr>
        <w:autoSpaceDE w:val="0"/>
        <w:autoSpaceDN w:val="0"/>
        <w:adjustRightInd w:val="0"/>
        <w:spacing w:before="80" w:after="0" w:line="240" w:lineRule="auto"/>
        <w:ind w:left="1361" w:hanging="284"/>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pályázati hirdetménnyel kapcsolatban tájékoztatást adó személy nevét és elérhetőségét,</w:t>
      </w:r>
    </w:p>
    <w:p w:rsidR="00674E63" w:rsidRPr="00674E63" w:rsidRDefault="00674E63" w:rsidP="00674E63">
      <w:pPr>
        <w:autoSpaceDE w:val="0"/>
        <w:autoSpaceDN w:val="0"/>
        <w:adjustRightInd w:val="0"/>
        <w:spacing w:after="0" w:line="240" w:lineRule="auto"/>
        <w:ind w:left="1077"/>
        <w:jc w:val="both"/>
        <w:rPr>
          <w:rFonts w:ascii="Century Gothic" w:eastAsia="Times New Roman" w:hAnsi="Century Gothic" w:cs="Times New Roman"/>
          <w:sz w:val="20"/>
          <w:szCs w:val="20"/>
        </w:rPr>
      </w:pPr>
    </w:p>
    <w:p w:rsidR="00674E63" w:rsidRPr="00674E63" w:rsidRDefault="00674E63" w:rsidP="00674E63">
      <w:pPr>
        <w:numPr>
          <w:ilvl w:val="0"/>
          <w:numId w:val="4"/>
        </w:numPr>
        <w:autoSpaceDE w:val="0"/>
        <w:autoSpaceDN w:val="0"/>
        <w:adjustRightInd w:val="0"/>
        <w:spacing w:after="0" w:line="240" w:lineRule="auto"/>
        <w:ind w:left="357" w:hanging="357"/>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Lebonyolító: Csarodai Közös Önkormányzati Hivatal</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b/>
          <w:bCs/>
          <w:sz w:val="20"/>
          <w:szCs w:val="20"/>
        </w:rPr>
      </w:pPr>
    </w:p>
    <w:p w:rsidR="00674E63" w:rsidRPr="00674E63" w:rsidRDefault="00674E63" w:rsidP="00674E63">
      <w:pPr>
        <w:autoSpaceDE w:val="0"/>
        <w:autoSpaceDN w:val="0"/>
        <w:adjustRightInd w:val="0"/>
        <w:spacing w:after="0" w:line="240" w:lineRule="auto"/>
        <w:jc w:val="center"/>
        <w:rPr>
          <w:rFonts w:ascii="Century Gothic" w:eastAsia="Times New Roman" w:hAnsi="Century Gothic" w:cs="Times New Roman"/>
          <w:b/>
          <w:bCs/>
          <w:sz w:val="20"/>
          <w:szCs w:val="20"/>
        </w:rPr>
      </w:pPr>
      <w:r w:rsidRPr="00674E63">
        <w:rPr>
          <w:rFonts w:ascii="Century Gothic" w:eastAsia="Times New Roman" w:hAnsi="Century Gothic" w:cs="Times New Roman"/>
          <w:b/>
          <w:bCs/>
          <w:sz w:val="20"/>
          <w:szCs w:val="20"/>
        </w:rPr>
        <w:br w:type="page"/>
      </w:r>
      <w:r w:rsidRPr="00674E63">
        <w:rPr>
          <w:rFonts w:ascii="Century Gothic" w:eastAsia="Times New Roman" w:hAnsi="Century Gothic" w:cs="Times New Roman"/>
          <w:b/>
          <w:bCs/>
          <w:sz w:val="20"/>
          <w:szCs w:val="20"/>
        </w:rPr>
        <w:lastRenderedPageBreak/>
        <w:t>A pályázati biztosíték</w:t>
      </w:r>
    </w:p>
    <w:p w:rsidR="00674E63" w:rsidRPr="00674E63" w:rsidRDefault="00674E63" w:rsidP="00674E63">
      <w:pPr>
        <w:autoSpaceDE w:val="0"/>
        <w:autoSpaceDN w:val="0"/>
        <w:adjustRightInd w:val="0"/>
        <w:spacing w:after="0" w:line="240" w:lineRule="auto"/>
        <w:jc w:val="center"/>
        <w:rPr>
          <w:rFonts w:ascii="Century Gothic" w:eastAsia="Times New Roman" w:hAnsi="Century Gothic" w:cs="Times New Roman"/>
          <w:b/>
          <w:bCs/>
          <w:sz w:val="20"/>
          <w:szCs w:val="20"/>
        </w:rPr>
      </w:pPr>
    </w:p>
    <w:p w:rsidR="00674E63" w:rsidRPr="00674E63" w:rsidRDefault="00674E63" w:rsidP="00674E63">
      <w:pPr>
        <w:numPr>
          <w:ilvl w:val="0"/>
          <w:numId w:val="5"/>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pályázati hirdetményben előírtak szerint a licittárgyaláson való részvételt a pályázati biztosíték megfizetéséhez kell kötni. Ennek összege esetenként meghatározott érték, mely nem lehet kevesebb, mint a nettó forgalmi érték 1,5 %-</w:t>
      </w:r>
      <w:proofErr w:type="gramStart"/>
      <w:r w:rsidRPr="00674E63">
        <w:rPr>
          <w:rFonts w:ascii="Century Gothic" w:eastAsia="Times New Roman" w:hAnsi="Century Gothic" w:cs="Times New Roman"/>
          <w:sz w:val="20"/>
          <w:szCs w:val="20"/>
        </w:rPr>
        <w:t>a</w:t>
      </w:r>
      <w:proofErr w:type="gramEnd"/>
      <w:r w:rsidRPr="00674E63">
        <w:rPr>
          <w:rFonts w:ascii="Century Gothic" w:eastAsia="Times New Roman" w:hAnsi="Century Gothic" w:cs="Times New Roman"/>
          <w:sz w:val="20"/>
          <w:szCs w:val="20"/>
        </w:rPr>
        <w:t>, de nem lehet több a nettó forgalmi érték 10 %-ánál.</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5"/>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pályázati biztosítékot a házipénztárába kell befizetni legkésőbb 15 perccel a licittárgyalás megkezdését megelőzően.</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5"/>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pályázati biztosíték foglalóként funkcionál, mely a nyertes résztvevőnél a vételárba beszámít, a többi résztvevőnek a licittárgyalás lebonyolítása után azonnal visszafizetésre kerül.</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5"/>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Amennyiben a licittárgyalás nyertese a szerződés megkötésétől eláll, vagy a szerződés létrejötte neki felróható egyéb okból hiúsul meg, a pályázati biztosítékot elveszti, és a licittárgyalás eredménye szerinti következő ajánlattevővel köthető meg a szerződés.</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5"/>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Ajánlatazonosság esetén a nyertes személye sorsolással dől el, amelyet az eredményhirdetés időpontjában – a lebonyolító jogi képviselőjének jelenlétében – kell lebonyolítani.</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b/>
          <w:bCs/>
          <w:sz w:val="20"/>
          <w:szCs w:val="20"/>
        </w:rPr>
      </w:pPr>
    </w:p>
    <w:p w:rsidR="00674E63" w:rsidRPr="00674E63" w:rsidRDefault="00674E63" w:rsidP="00674E63">
      <w:pPr>
        <w:autoSpaceDE w:val="0"/>
        <w:autoSpaceDN w:val="0"/>
        <w:adjustRightInd w:val="0"/>
        <w:spacing w:after="0" w:line="240" w:lineRule="auto"/>
        <w:jc w:val="center"/>
        <w:rPr>
          <w:rFonts w:ascii="Century Gothic" w:eastAsia="Times New Roman" w:hAnsi="Century Gothic" w:cs="Times New Roman"/>
          <w:b/>
          <w:bCs/>
          <w:sz w:val="20"/>
          <w:szCs w:val="20"/>
        </w:rPr>
      </w:pPr>
      <w:r w:rsidRPr="00674E63">
        <w:rPr>
          <w:rFonts w:ascii="Century Gothic" w:eastAsia="Times New Roman" w:hAnsi="Century Gothic" w:cs="Times New Roman"/>
          <w:b/>
          <w:bCs/>
          <w:sz w:val="20"/>
          <w:szCs w:val="20"/>
        </w:rPr>
        <w:t>A licittárgyalás lebonyolítása</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b/>
          <w:bCs/>
          <w:sz w:val="20"/>
          <w:szCs w:val="20"/>
        </w:rPr>
      </w:pPr>
    </w:p>
    <w:p w:rsidR="00674E63" w:rsidRPr="00674E63" w:rsidRDefault="00674E63" w:rsidP="00674E63">
      <w:pPr>
        <w:numPr>
          <w:ilvl w:val="0"/>
          <w:numId w:val="6"/>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 xml:space="preserve">A licittárgyalás lefolytatása a lebonyolító feladata. A licittárgyalás lebonyolításánál be kell tartani az összeférhetetlenségi szabályokat, azaz a licittárgyalás lebonyolításában nem járhat el aki az ajánlatot tevő természetes személy közeli hozzátartozója vagy az ajánlatot tevő gazdálkodó szervezettel munkaviszonyban, munkavégzésre irányuló egyéb jogviszonyban áll, annak vezető tisztségviselője, vagy felügyelő bizottságának tagja, vagy aki az ajánlattevő gazdasági szervezetben tulajdonnal rendelkezik, vagy </w:t>
      </w:r>
      <w:proofErr w:type="gramStart"/>
      <w:r w:rsidRPr="00674E63">
        <w:rPr>
          <w:rFonts w:ascii="Century Gothic" w:eastAsia="Times New Roman" w:hAnsi="Century Gothic" w:cs="Times New Roman"/>
          <w:sz w:val="20"/>
          <w:szCs w:val="20"/>
        </w:rPr>
        <w:t>ezen</w:t>
      </w:r>
      <w:proofErr w:type="gramEnd"/>
      <w:r w:rsidRPr="00674E63">
        <w:rPr>
          <w:rFonts w:ascii="Century Gothic" w:eastAsia="Times New Roman" w:hAnsi="Century Gothic" w:cs="Times New Roman"/>
          <w:sz w:val="20"/>
          <w:szCs w:val="20"/>
        </w:rPr>
        <w:t xml:space="preserve"> személyek közeli hozzátartozója. </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6"/>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licittárgyalás vezetője a jogi képviselőjével közösen ellenőrzi és jegyzőkönyvben rögzíti a licittárgyaláson résztvevő természetes személyek esetében a személyazonosság igazolását, jogi személyek, jogi személyiség nélküli szervezetek esetében a képviselő képviseleti jogosultságát, vagy meghatalmazottak esetében ezen túlmenően a meghatalmazás jogszerűségét. Gazdasági társaságok esetében be kell mutatni a 30 napnál nem régebbi cégkivonat másolati példányát is.</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6"/>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licittárgyalás vezetője jegyzőkönyvben rögzíti a pályázati biztosíték befizetésének tényét.</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6"/>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licittárgyalás vezetője ismerteti a résztvevőknek az ingatlan pályázati hirdetményben szereplő adatait és a pályázati feltételeket, kiegészítve a tájékoztatást jelen szabályzatnak a pályázati biztosítékra és a licittárgyalás lebonyolítására vonatkozó fontosabb előírásaival. Szükség esetén, vagy a résztvevők felmerülő kérdéseire a lebonyolító képviselője és a jogi képviselője ad további tájékoztatást. A licitálás megkezdése előtt a pályázóknak nyilatkozniuk kell, hogy az elhangzottakat tudomásul veszik és elfogadják.</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6"/>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 xml:space="preserve">A </w:t>
      </w:r>
      <w:proofErr w:type="gramStart"/>
      <w:r w:rsidRPr="00674E63">
        <w:rPr>
          <w:rFonts w:ascii="Century Gothic" w:eastAsia="Times New Roman" w:hAnsi="Century Gothic" w:cs="Times New Roman"/>
          <w:sz w:val="20"/>
          <w:szCs w:val="20"/>
        </w:rPr>
        <w:t>licit induló</w:t>
      </w:r>
      <w:proofErr w:type="gramEnd"/>
      <w:r w:rsidRPr="00674E63">
        <w:rPr>
          <w:rFonts w:ascii="Century Gothic" w:eastAsia="Times New Roman" w:hAnsi="Century Gothic" w:cs="Times New Roman"/>
          <w:sz w:val="20"/>
          <w:szCs w:val="20"/>
        </w:rPr>
        <w:t xml:space="preserve"> mértéke a pályázati hirdetményben megjelölt összeg, amely egyben az ingatlanra a tulajdonos Képviselő-testület által meghatározott minimális eladási ár, mely a licittárgyalás során az aktuális licitlépcsőnek megfelelően emelkedik.</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6"/>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licitlépcső teljes vételárra történő licitálás esetén legalább a nettó forgalmi érték 1 %-</w:t>
      </w:r>
      <w:proofErr w:type="gramStart"/>
      <w:r w:rsidRPr="00674E63">
        <w:rPr>
          <w:rFonts w:ascii="Century Gothic" w:eastAsia="Times New Roman" w:hAnsi="Century Gothic" w:cs="Times New Roman"/>
          <w:sz w:val="20"/>
          <w:szCs w:val="20"/>
        </w:rPr>
        <w:t>a</w:t>
      </w:r>
      <w:proofErr w:type="gramEnd"/>
      <w:r w:rsidRPr="00674E63">
        <w:rPr>
          <w:rFonts w:ascii="Century Gothic" w:eastAsia="Times New Roman" w:hAnsi="Century Gothic" w:cs="Times New Roman"/>
          <w:sz w:val="20"/>
          <w:szCs w:val="20"/>
        </w:rPr>
        <w:t>, de legfeljebb 5 %-a. A nettó fajlagos árra (Ft/m2) történő licitálás esetén a fajlagos nettó ár legalább 1%-</w:t>
      </w:r>
      <w:proofErr w:type="gramStart"/>
      <w:r w:rsidRPr="00674E63">
        <w:rPr>
          <w:rFonts w:ascii="Century Gothic" w:eastAsia="Times New Roman" w:hAnsi="Century Gothic" w:cs="Times New Roman"/>
          <w:sz w:val="20"/>
          <w:szCs w:val="20"/>
        </w:rPr>
        <w:t>a</w:t>
      </w:r>
      <w:proofErr w:type="gramEnd"/>
      <w:r w:rsidRPr="00674E63">
        <w:rPr>
          <w:rFonts w:ascii="Century Gothic" w:eastAsia="Times New Roman" w:hAnsi="Century Gothic" w:cs="Times New Roman"/>
          <w:sz w:val="20"/>
          <w:szCs w:val="20"/>
        </w:rPr>
        <w:t>, de legfeljebb 5%-a.</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6"/>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lastRenderedPageBreak/>
        <w:t>A licitálás menete a licitlépcső szerinti táblázatos formában kerül rögzítésre, mely a jegyzőkönyv mellékletét képezi.</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6"/>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licitálás nyertese az a résztvevő, aki a legmagasabb árat ajánlja és a vételár egyösszegű, az adásvételi szerződés aláírásával egyidejűleg történő megfizetését vállalja, kivéve, ha a Képviselő-testület részletfizetéssel történő értékesítést is engedélyezett.</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6"/>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Az eredményhirdetésre közvetlenül a licitálás befejezését követően kerül sor.</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6"/>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nyertes ajánlattevővel az adásvételi szerződés a licittárgyalást követően 30 napon belül kerül megkötésre, kivéve, ha a Képviselő-testület ettől eltérő időpontot állapít meg.</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numPr>
          <w:ilvl w:val="0"/>
          <w:numId w:val="6"/>
        </w:numPr>
        <w:autoSpaceDE w:val="0"/>
        <w:autoSpaceDN w:val="0"/>
        <w:adjustRightInd w:val="0"/>
        <w:spacing w:after="0" w:line="240" w:lineRule="auto"/>
        <w:ind w:left="357" w:hanging="357"/>
        <w:jc w:val="both"/>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t>A licittárgyalás során készült jegyzőkönyvet a licittárgyaláson résztvevő jogi képviselő hitelesíti.</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b/>
          <w:bCs/>
          <w:iCs/>
          <w:sz w:val="20"/>
          <w:szCs w:val="20"/>
        </w:rPr>
      </w:pPr>
      <w:r w:rsidRPr="00674E63">
        <w:rPr>
          <w:rFonts w:ascii="Century Gothic" w:eastAsia="Times New Roman" w:hAnsi="Century Gothic" w:cs="Times New Roman"/>
          <w:b/>
          <w:bCs/>
          <w:iCs/>
          <w:sz w:val="20"/>
          <w:szCs w:val="20"/>
        </w:rPr>
        <w:t>Tákos, 2018. december 03.</w:t>
      </w: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bCs/>
          <w:iCs/>
          <w:sz w:val="20"/>
          <w:szCs w:val="20"/>
        </w:rPr>
      </w:pP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bCs/>
          <w:iCs/>
          <w:sz w:val="20"/>
          <w:szCs w:val="20"/>
        </w:rPr>
      </w:pPr>
    </w:p>
    <w:p w:rsidR="00674E63" w:rsidRPr="00674E63" w:rsidRDefault="00674E63" w:rsidP="00674E63">
      <w:pPr>
        <w:tabs>
          <w:tab w:val="center" w:pos="2552"/>
          <w:tab w:val="center" w:pos="6237"/>
        </w:tabs>
        <w:autoSpaceDE w:val="0"/>
        <w:autoSpaceDN w:val="0"/>
        <w:adjustRightInd w:val="0"/>
        <w:spacing w:after="0" w:line="240" w:lineRule="auto"/>
        <w:jc w:val="both"/>
        <w:rPr>
          <w:rFonts w:ascii="Century Gothic" w:eastAsia="Times New Roman" w:hAnsi="Century Gothic" w:cs="Times New Roman"/>
          <w:bCs/>
          <w:iCs/>
          <w:sz w:val="20"/>
          <w:szCs w:val="20"/>
        </w:rPr>
      </w:pPr>
    </w:p>
    <w:p w:rsidR="00674E63" w:rsidRPr="00674E63" w:rsidRDefault="00674E63" w:rsidP="00674E63">
      <w:pPr>
        <w:tabs>
          <w:tab w:val="center" w:pos="2552"/>
          <w:tab w:val="center" w:pos="6237"/>
        </w:tabs>
        <w:autoSpaceDE w:val="0"/>
        <w:autoSpaceDN w:val="0"/>
        <w:adjustRightInd w:val="0"/>
        <w:spacing w:after="0" w:line="240" w:lineRule="auto"/>
        <w:jc w:val="both"/>
        <w:rPr>
          <w:rFonts w:ascii="Century Gothic" w:eastAsia="Times New Roman" w:hAnsi="Century Gothic" w:cs="Times New Roman"/>
          <w:bCs/>
          <w:iCs/>
          <w:sz w:val="20"/>
          <w:szCs w:val="20"/>
        </w:rPr>
      </w:pPr>
    </w:p>
    <w:p w:rsidR="00674E63" w:rsidRPr="00674E63" w:rsidRDefault="00674E63" w:rsidP="00674E63">
      <w:pPr>
        <w:tabs>
          <w:tab w:val="center" w:pos="2268"/>
          <w:tab w:val="center" w:pos="6804"/>
        </w:tabs>
        <w:autoSpaceDE w:val="0"/>
        <w:autoSpaceDN w:val="0"/>
        <w:adjustRightInd w:val="0"/>
        <w:spacing w:after="0" w:line="240" w:lineRule="auto"/>
        <w:jc w:val="both"/>
        <w:rPr>
          <w:rFonts w:ascii="Century Gothic" w:eastAsia="Times New Roman" w:hAnsi="Century Gothic" w:cs="Times New Roman"/>
          <w:b/>
          <w:bCs/>
          <w:iCs/>
          <w:sz w:val="20"/>
          <w:szCs w:val="20"/>
        </w:rPr>
      </w:pPr>
      <w:r w:rsidRPr="00674E63">
        <w:rPr>
          <w:rFonts w:ascii="Century Gothic" w:eastAsia="Times New Roman" w:hAnsi="Century Gothic" w:cs="Times New Roman"/>
          <w:b/>
          <w:bCs/>
          <w:iCs/>
          <w:sz w:val="20"/>
          <w:szCs w:val="20"/>
        </w:rPr>
        <w:tab/>
        <w:t>Filep Sándor</w:t>
      </w:r>
      <w:r w:rsidRPr="00674E63">
        <w:rPr>
          <w:rFonts w:ascii="Century Gothic" w:eastAsia="Times New Roman" w:hAnsi="Century Gothic" w:cs="Times New Roman"/>
          <w:b/>
          <w:bCs/>
          <w:iCs/>
          <w:sz w:val="20"/>
          <w:szCs w:val="20"/>
        </w:rPr>
        <w:tab/>
        <w:t>Siket Sándor</w:t>
      </w:r>
    </w:p>
    <w:p w:rsidR="00674E63" w:rsidRPr="00674E63" w:rsidRDefault="00674E63" w:rsidP="00674E63">
      <w:pPr>
        <w:tabs>
          <w:tab w:val="center" w:pos="2268"/>
          <w:tab w:val="center" w:pos="6804"/>
        </w:tabs>
        <w:autoSpaceDE w:val="0"/>
        <w:autoSpaceDN w:val="0"/>
        <w:adjustRightInd w:val="0"/>
        <w:spacing w:after="0" w:line="240" w:lineRule="auto"/>
        <w:jc w:val="both"/>
        <w:rPr>
          <w:rFonts w:ascii="Century Gothic" w:eastAsia="Times New Roman" w:hAnsi="Century Gothic" w:cs="Times New Roman"/>
          <w:b/>
          <w:bCs/>
          <w:iCs/>
          <w:sz w:val="20"/>
          <w:szCs w:val="20"/>
        </w:rPr>
      </w:pPr>
      <w:r w:rsidRPr="00674E63">
        <w:rPr>
          <w:rFonts w:ascii="Century Gothic" w:eastAsia="Times New Roman" w:hAnsi="Century Gothic" w:cs="Times New Roman"/>
          <w:b/>
          <w:bCs/>
          <w:iCs/>
          <w:sz w:val="20"/>
          <w:szCs w:val="20"/>
        </w:rPr>
        <w:tab/>
      </w:r>
      <w:proofErr w:type="gramStart"/>
      <w:r w:rsidRPr="00674E63">
        <w:rPr>
          <w:rFonts w:ascii="Century Gothic" w:eastAsia="Times New Roman" w:hAnsi="Century Gothic" w:cs="Times New Roman"/>
          <w:b/>
          <w:bCs/>
          <w:iCs/>
          <w:sz w:val="20"/>
          <w:szCs w:val="20"/>
        </w:rPr>
        <w:t>polgármester</w:t>
      </w:r>
      <w:proofErr w:type="gramEnd"/>
      <w:r w:rsidRPr="00674E63">
        <w:rPr>
          <w:rFonts w:ascii="Century Gothic" w:eastAsia="Times New Roman" w:hAnsi="Century Gothic" w:cs="Times New Roman"/>
          <w:b/>
          <w:bCs/>
          <w:iCs/>
          <w:sz w:val="20"/>
          <w:szCs w:val="20"/>
        </w:rPr>
        <w:tab/>
        <w:t>jegyző</w:t>
      </w:r>
    </w:p>
    <w:p w:rsidR="00674E63" w:rsidRPr="00674E63" w:rsidRDefault="00674E63" w:rsidP="00674E63">
      <w:pPr>
        <w:tabs>
          <w:tab w:val="center" w:pos="2552"/>
          <w:tab w:val="center" w:pos="6237"/>
        </w:tabs>
        <w:autoSpaceDE w:val="0"/>
        <w:autoSpaceDN w:val="0"/>
        <w:adjustRightInd w:val="0"/>
        <w:spacing w:after="0" w:line="240" w:lineRule="auto"/>
        <w:jc w:val="both"/>
        <w:rPr>
          <w:rFonts w:ascii="Century Gothic" w:eastAsia="Times New Roman" w:hAnsi="Century Gothic" w:cs="Times New Roman"/>
          <w:bCs/>
          <w:iCs/>
          <w:sz w:val="20"/>
          <w:szCs w:val="20"/>
        </w:rPr>
      </w:pP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autoSpaceDE w:val="0"/>
        <w:autoSpaceDN w:val="0"/>
        <w:adjustRightInd w:val="0"/>
        <w:spacing w:after="0" w:line="240" w:lineRule="auto"/>
        <w:jc w:val="both"/>
        <w:rPr>
          <w:rFonts w:ascii="Century Gothic" w:eastAsia="Times New Roman" w:hAnsi="Century Gothic" w:cs="Times New Roman"/>
          <w:sz w:val="20"/>
          <w:szCs w:val="20"/>
        </w:rPr>
      </w:pPr>
    </w:p>
    <w:p w:rsidR="00674E63" w:rsidRPr="00674E63" w:rsidRDefault="00674E63" w:rsidP="00674E63">
      <w:pPr>
        <w:spacing w:after="0" w:line="240" w:lineRule="auto"/>
        <w:rPr>
          <w:rFonts w:ascii="Century Gothic" w:eastAsia="Times New Roman" w:hAnsi="Century Gothic" w:cs="Times New Roman"/>
          <w:sz w:val="20"/>
          <w:szCs w:val="20"/>
        </w:rPr>
      </w:pPr>
      <w:r w:rsidRPr="00674E63">
        <w:rPr>
          <w:rFonts w:ascii="Century Gothic" w:eastAsia="Times New Roman" w:hAnsi="Century Gothic" w:cs="Times New Roman"/>
          <w:sz w:val="20"/>
          <w:szCs w:val="20"/>
        </w:rPr>
        <w:br w:type="page"/>
      </w:r>
    </w:p>
    <w:p w:rsidR="00B57640" w:rsidRDefault="00B57640"/>
    <w:sectPr w:rsidR="00B576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A4168"/>
    <w:multiLevelType w:val="hybridMultilevel"/>
    <w:tmpl w:val="C7F23E8C"/>
    <w:lvl w:ilvl="0" w:tplc="DC5E9C46">
      <w:start w:val="1"/>
      <w:numFmt w:val="decimal"/>
      <w:lvlText w:val="%1."/>
      <w:lvlJc w:val="left"/>
      <w:pPr>
        <w:tabs>
          <w:tab w:val="num" w:pos="360"/>
        </w:tabs>
        <w:ind w:left="360" w:hanging="360"/>
      </w:pPr>
      <w:rPr>
        <w:rFonts w:hint="default"/>
        <w:b w:val="0"/>
        <w:i w:val="0"/>
      </w:rPr>
    </w:lvl>
    <w:lvl w:ilvl="1" w:tplc="3560309A">
      <w:start w:val="1"/>
      <w:numFmt w:val="bullet"/>
      <w:lvlText w:val=""/>
      <w:lvlJc w:val="left"/>
      <w:pPr>
        <w:tabs>
          <w:tab w:val="num" w:pos="1372"/>
        </w:tabs>
        <w:ind w:left="1420" w:hanging="340"/>
      </w:pPr>
      <w:rPr>
        <w:rFonts w:ascii="Symbol" w:hAnsi="Symbol" w:hint="default"/>
        <w:b w:val="0"/>
        <w:i w:val="0"/>
        <w:sz w:val="24"/>
        <w:szCs w:val="24"/>
        <w:effect w:val="none"/>
      </w:rPr>
    </w:lvl>
    <w:lvl w:ilvl="2" w:tplc="0409001B">
      <w:start w:val="1"/>
      <w:numFmt w:val="lowerRoman"/>
      <w:lvlText w:val="%3."/>
      <w:lvlJc w:val="right"/>
      <w:pPr>
        <w:tabs>
          <w:tab w:val="num" w:pos="1091"/>
        </w:tabs>
        <w:ind w:left="1091" w:hanging="180"/>
      </w:pPr>
    </w:lvl>
    <w:lvl w:ilvl="3" w:tplc="0409000F">
      <w:start w:val="1"/>
      <w:numFmt w:val="decimal"/>
      <w:lvlText w:val="%4."/>
      <w:lvlJc w:val="left"/>
      <w:pPr>
        <w:tabs>
          <w:tab w:val="num" w:pos="1811"/>
        </w:tabs>
        <w:ind w:left="1811" w:hanging="360"/>
      </w:pPr>
    </w:lvl>
    <w:lvl w:ilvl="4" w:tplc="04090019" w:tentative="1">
      <w:start w:val="1"/>
      <w:numFmt w:val="lowerLetter"/>
      <w:lvlText w:val="%5."/>
      <w:lvlJc w:val="left"/>
      <w:pPr>
        <w:tabs>
          <w:tab w:val="num" w:pos="2531"/>
        </w:tabs>
        <w:ind w:left="2531" w:hanging="360"/>
      </w:pPr>
    </w:lvl>
    <w:lvl w:ilvl="5" w:tplc="0409001B" w:tentative="1">
      <w:start w:val="1"/>
      <w:numFmt w:val="lowerRoman"/>
      <w:lvlText w:val="%6."/>
      <w:lvlJc w:val="right"/>
      <w:pPr>
        <w:tabs>
          <w:tab w:val="num" w:pos="3251"/>
        </w:tabs>
        <w:ind w:left="3251" w:hanging="180"/>
      </w:pPr>
    </w:lvl>
    <w:lvl w:ilvl="6" w:tplc="0409000F" w:tentative="1">
      <w:start w:val="1"/>
      <w:numFmt w:val="decimal"/>
      <w:lvlText w:val="%7."/>
      <w:lvlJc w:val="left"/>
      <w:pPr>
        <w:tabs>
          <w:tab w:val="num" w:pos="3971"/>
        </w:tabs>
        <w:ind w:left="3971" w:hanging="360"/>
      </w:pPr>
    </w:lvl>
    <w:lvl w:ilvl="7" w:tplc="04090019" w:tentative="1">
      <w:start w:val="1"/>
      <w:numFmt w:val="lowerLetter"/>
      <w:lvlText w:val="%8."/>
      <w:lvlJc w:val="left"/>
      <w:pPr>
        <w:tabs>
          <w:tab w:val="num" w:pos="4691"/>
        </w:tabs>
        <w:ind w:left="4691" w:hanging="360"/>
      </w:pPr>
    </w:lvl>
    <w:lvl w:ilvl="8" w:tplc="0409001B" w:tentative="1">
      <w:start w:val="1"/>
      <w:numFmt w:val="lowerRoman"/>
      <w:lvlText w:val="%9."/>
      <w:lvlJc w:val="right"/>
      <w:pPr>
        <w:tabs>
          <w:tab w:val="num" w:pos="5411"/>
        </w:tabs>
        <w:ind w:left="5411" w:hanging="180"/>
      </w:pPr>
    </w:lvl>
  </w:abstractNum>
  <w:abstractNum w:abstractNumId="1">
    <w:nsid w:val="3BB96E0E"/>
    <w:multiLevelType w:val="hybridMultilevel"/>
    <w:tmpl w:val="AF2EE29A"/>
    <w:lvl w:ilvl="0" w:tplc="48DC92BC">
      <w:start w:val="1"/>
      <w:numFmt w:val="bullet"/>
      <w:lvlText w:val=""/>
      <w:lvlJc w:val="left"/>
      <w:pPr>
        <w:tabs>
          <w:tab w:val="num" w:pos="2212"/>
        </w:tabs>
        <w:ind w:left="2260" w:hanging="340"/>
      </w:pPr>
      <w:rPr>
        <w:rFonts w:ascii="Symbol" w:hAnsi="Symbol" w:hint="default"/>
        <w:sz w:val="24"/>
        <w:szCs w:val="24"/>
        <w:effect w:val="none"/>
      </w:rPr>
    </w:lvl>
    <w:lvl w:ilvl="1" w:tplc="04090019">
      <w:start w:val="1"/>
      <w:numFmt w:val="bullet"/>
      <w:lvlText w:val=""/>
      <w:lvlJc w:val="left"/>
      <w:pPr>
        <w:tabs>
          <w:tab w:val="num" w:pos="1372"/>
        </w:tabs>
        <w:ind w:left="1420" w:hanging="340"/>
      </w:pPr>
      <w:rPr>
        <w:rFonts w:ascii="Symbol" w:hAnsi="Symbol" w:hint="default"/>
        <w:sz w:val="24"/>
        <w:szCs w:val="24"/>
        <w:effect w:val="no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49B55E85"/>
    <w:multiLevelType w:val="hybridMultilevel"/>
    <w:tmpl w:val="AAB42D28"/>
    <w:lvl w:ilvl="0" w:tplc="434E76D4">
      <w:start w:val="3"/>
      <w:numFmt w:val="decimal"/>
      <w:lvlText w:val="%1."/>
      <w:lvlJc w:val="left"/>
      <w:pPr>
        <w:tabs>
          <w:tab w:val="num" w:pos="360"/>
        </w:tabs>
        <w:ind w:left="360" w:hanging="360"/>
      </w:pPr>
      <w:rPr>
        <w:rFonts w:hint="default"/>
        <w:b w:val="0"/>
        <w:i w:val="0"/>
      </w:rPr>
    </w:lvl>
    <w:lvl w:ilvl="1" w:tplc="0CBABA1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8D46CD"/>
    <w:multiLevelType w:val="hybridMultilevel"/>
    <w:tmpl w:val="D56E589E"/>
    <w:lvl w:ilvl="0" w:tplc="B8FAEBA8">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30B63B98">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4C1AF5"/>
    <w:multiLevelType w:val="hybridMultilevel"/>
    <w:tmpl w:val="7A3E3216"/>
    <w:lvl w:ilvl="0" w:tplc="48DC92BC">
      <w:start w:val="1"/>
      <w:numFmt w:val="decimal"/>
      <w:lvlText w:val="%1."/>
      <w:lvlJc w:val="left"/>
      <w:pPr>
        <w:tabs>
          <w:tab w:val="num" w:pos="360"/>
        </w:tabs>
        <w:ind w:left="360" w:hanging="360"/>
      </w:pPr>
      <w:rPr>
        <w:rFonts w:hint="default"/>
        <w:b w:val="0"/>
        <w:i w:val="0"/>
      </w:rPr>
    </w:lvl>
    <w:lvl w:ilvl="1" w:tplc="3560309A">
      <w:start w:val="1"/>
      <w:numFmt w:val="bullet"/>
      <w:lvlText w:val=""/>
      <w:lvlJc w:val="left"/>
      <w:pPr>
        <w:tabs>
          <w:tab w:val="num" w:pos="303"/>
        </w:tabs>
        <w:ind w:left="351" w:hanging="340"/>
      </w:pPr>
      <w:rPr>
        <w:rFonts w:ascii="Symbol" w:hAnsi="Symbol" w:hint="default"/>
        <w:b w:val="0"/>
        <w:i w:val="0"/>
        <w:sz w:val="24"/>
        <w:szCs w:val="24"/>
        <w:effect w:val="none"/>
      </w:rPr>
    </w:lvl>
    <w:lvl w:ilvl="2" w:tplc="D5FC9C32">
      <w:start w:val="1"/>
      <w:numFmt w:val="lowerRoman"/>
      <w:lvlText w:val="%3."/>
      <w:lvlJc w:val="right"/>
      <w:pPr>
        <w:tabs>
          <w:tab w:val="num" w:pos="1091"/>
        </w:tabs>
        <w:ind w:left="1091" w:hanging="180"/>
      </w:pPr>
    </w:lvl>
    <w:lvl w:ilvl="3" w:tplc="0409000F">
      <w:start w:val="1"/>
      <w:numFmt w:val="decimal"/>
      <w:lvlText w:val="%4."/>
      <w:lvlJc w:val="left"/>
      <w:pPr>
        <w:tabs>
          <w:tab w:val="num" w:pos="1811"/>
        </w:tabs>
        <w:ind w:left="1811" w:hanging="360"/>
      </w:pPr>
    </w:lvl>
    <w:lvl w:ilvl="4" w:tplc="3560309A" w:tentative="1">
      <w:start w:val="1"/>
      <w:numFmt w:val="lowerLetter"/>
      <w:lvlText w:val="%5."/>
      <w:lvlJc w:val="left"/>
      <w:pPr>
        <w:tabs>
          <w:tab w:val="num" w:pos="2531"/>
        </w:tabs>
        <w:ind w:left="2531" w:hanging="360"/>
      </w:pPr>
    </w:lvl>
    <w:lvl w:ilvl="5" w:tplc="0409001B" w:tentative="1">
      <w:start w:val="1"/>
      <w:numFmt w:val="lowerRoman"/>
      <w:lvlText w:val="%6."/>
      <w:lvlJc w:val="right"/>
      <w:pPr>
        <w:tabs>
          <w:tab w:val="num" w:pos="3251"/>
        </w:tabs>
        <w:ind w:left="3251" w:hanging="180"/>
      </w:pPr>
    </w:lvl>
    <w:lvl w:ilvl="6" w:tplc="0409000F" w:tentative="1">
      <w:start w:val="1"/>
      <w:numFmt w:val="decimal"/>
      <w:lvlText w:val="%7."/>
      <w:lvlJc w:val="left"/>
      <w:pPr>
        <w:tabs>
          <w:tab w:val="num" w:pos="3971"/>
        </w:tabs>
        <w:ind w:left="3971" w:hanging="360"/>
      </w:pPr>
    </w:lvl>
    <w:lvl w:ilvl="7" w:tplc="04090019" w:tentative="1">
      <w:start w:val="1"/>
      <w:numFmt w:val="lowerLetter"/>
      <w:lvlText w:val="%8."/>
      <w:lvlJc w:val="left"/>
      <w:pPr>
        <w:tabs>
          <w:tab w:val="num" w:pos="4691"/>
        </w:tabs>
        <w:ind w:left="4691" w:hanging="360"/>
      </w:pPr>
    </w:lvl>
    <w:lvl w:ilvl="8" w:tplc="0409001B" w:tentative="1">
      <w:start w:val="1"/>
      <w:numFmt w:val="lowerRoman"/>
      <w:lvlText w:val="%9."/>
      <w:lvlJc w:val="right"/>
      <w:pPr>
        <w:tabs>
          <w:tab w:val="num" w:pos="5411"/>
        </w:tabs>
        <w:ind w:left="5411" w:hanging="180"/>
      </w:pPr>
    </w:lvl>
  </w:abstractNum>
  <w:abstractNum w:abstractNumId="5">
    <w:nsid w:val="6F527C35"/>
    <w:multiLevelType w:val="hybridMultilevel"/>
    <w:tmpl w:val="A73411A8"/>
    <w:lvl w:ilvl="0" w:tplc="48DC92BC">
      <w:start w:val="1"/>
      <w:numFmt w:val="decimal"/>
      <w:lvlText w:val="%1."/>
      <w:lvlJc w:val="left"/>
      <w:pPr>
        <w:tabs>
          <w:tab w:val="num" w:pos="360"/>
        </w:tabs>
        <w:ind w:left="360" w:hanging="360"/>
      </w:pPr>
      <w:rPr>
        <w:rFonts w:hint="default"/>
        <w:b w:val="0"/>
        <w:i w:val="0"/>
      </w:rPr>
    </w:lvl>
    <w:lvl w:ilvl="1" w:tplc="3560309A">
      <w:start w:val="1"/>
      <w:numFmt w:val="lowerLetter"/>
      <w:lvlText w:val="%2."/>
      <w:lvlJc w:val="left"/>
      <w:pPr>
        <w:tabs>
          <w:tab w:val="num" w:pos="1440"/>
        </w:tabs>
        <w:ind w:left="1440" w:hanging="360"/>
      </w:pPr>
    </w:lvl>
    <w:lvl w:ilvl="2" w:tplc="D5FC9C32">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674E63"/>
    <w:rsid w:val="00674E63"/>
    <w:rsid w:val="00B5764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4932</Characters>
  <Application>Microsoft Office Word</Application>
  <DocSecurity>0</DocSecurity>
  <Lines>41</Lines>
  <Paragraphs>11</Paragraphs>
  <ScaleCrop>false</ScaleCrop>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Gazdi</dc:creator>
  <cp:keywords/>
  <dc:description/>
  <cp:lastModifiedBy>Gazdi</cp:lastModifiedBy>
  <cp:revision>2</cp:revision>
  <dcterms:created xsi:type="dcterms:W3CDTF">2019-01-25T09:29:00Z</dcterms:created>
  <dcterms:modified xsi:type="dcterms:W3CDTF">2019-01-25T09:29:00Z</dcterms:modified>
</cp:coreProperties>
</file>