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DC" w:rsidRPr="00B92B3E" w:rsidRDefault="008F59DC" w:rsidP="008F59DC">
      <w:pPr>
        <w:ind w:left="284" w:hanging="284"/>
        <w:jc w:val="right"/>
        <w:rPr>
          <w:b/>
        </w:rPr>
      </w:pPr>
      <w:r w:rsidRPr="00B92B3E">
        <w:rPr>
          <w:b/>
        </w:rPr>
        <w:t>1. sz. melléklet</w:t>
      </w:r>
    </w:p>
    <w:p w:rsidR="008F59DC" w:rsidRPr="00B92B3E" w:rsidRDefault="008F59DC" w:rsidP="008F59DC">
      <w:pPr>
        <w:jc w:val="right"/>
      </w:pPr>
    </w:p>
    <w:p w:rsidR="008F59DC" w:rsidRPr="00B92B3E" w:rsidRDefault="008F59DC" w:rsidP="008F59DC">
      <w:pPr>
        <w:jc w:val="center"/>
        <w:rPr>
          <w:b/>
        </w:rPr>
      </w:pPr>
      <w:r w:rsidRPr="00B92B3E">
        <w:rPr>
          <w:b/>
        </w:rPr>
        <w:t xml:space="preserve">A </w:t>
      </w:r>
      <w:proofErr w:type="gramStart"/>
      <w:r w:rsidRPr="00B92B3E">
        <w:rPr>
          <w:b/>
        </w:rPr>
        <w:t>lakás bérleti</w:t>
      </w:r>
      <w:proofErr w:type="gramEnd"/>
      <w:r w:rsidRPr="00B92B3E">
        <w:rPr>
          <w:b/>
        </w:rPr>
        <w:t xml:space="preserve"> értéke</w:t>
      </w:r>
    </w:p>
    <w:p w:rsidR="008F59DC" w:rsidRPr="00B92B3E" w:rsidRDefault="008F59DC" w:rsidP="008F59DC"/>
    <w:p w:rsidR="008F59DC" w:rsidRPr="00B92B3E" w:rsidRDefault="008F59DC" w:rsidP="008F59DC">
      <w:pPr>
        <w:ind w:left="426" w:hanging="426"/>
        <w:jc w:val="both"/>
      </w:pPr>
      <w:r w:rsidRPr="00B92B3E">
        <w:t>(1)</w:t>
      </w:r>
      <w:r w:rsidRPr="00B92B3E">
        <w:rPr>
          <w:rStyle w:val="Lbjegyzet-hivatkozs"/>
        </w:rPr>
        <w:footnoteReference w:id="1"/>
      </w:r>
      <w:r w:rsidRPr="00B92B3E">
        <w:tab/>
        <w:t>A lakás (bruttó) bérleti értéke = alapterület x pontszám x alapérték.</w:t>
      </w:r>
    </w:p>
    <w:p w:rsidR="008F59DC" w:rsidRPr="00B92B3E" w:rsidRDefault="008F59DC" w:rsidP="008F59DC">
      <w:pPr>
        <w:ind w:left="426" w:hanging="426"/>
        <w:jc w:val="center"/>
      </w:pPr>
    </w:p>
    <w:p w:rsidR="008F59DC" w:rsidRPr="00B92B3E" w:rsidRDefault="008F59DC" w:rsidP="008F59DC">
      <w:pPr>
        <w:ind w:left="426" w:hanging="426"/>
        <w:jc w:val="both"/>
      </w:pPr>
      <w:r w:rsidRPr="00B92B3E">
        <w:t>(2)</w:t>
      </w:r>
      <w:r w:rsidRPr="00B92B3E">
        <w:tab/>
      </w:r>
      <w:r w:rsidRPr="00B92B3E">
        <w:rPr>
          <w:rStyle w:val="Lbjegyzet-hivatkozs"/>
        </w:rPr>
        <w:footnoteReference w:id="2"/>
      </w:r>
      <w:r w:rsidRPr="00B92B3E">
        <w:rPr>
          <w:rStyle w:val="Lbjegyzet-hivatkozs"/>
        </w:rPr>
        <w:footnoteReference w:id="3"/>
      </w:r>
      <w:r w:rsidRPr="00B92B3E">
        <w:t xml:space="preserve">Az alapérték minden lakásra vonatkozóan megegyezik, mértékét Önkormányzat minden évben a </w:t>
      </w:r>
      <w:r w:rsidRPr="00B92B3E">
        <w:rPr>
          <w:lang w:val="es-ES"/>
        </w:rPr>
        <w:t xml:space="preserve">költségvetési rendelet elfogadásával egyidejűleg, </w:t>
      </w:r>
      <w:r w:rsidRPr="00B92B3E">
        <w:rPr>
          <w:bCs/>
        </w:rPr>
        <w:t>a költségvetési rendelet előirányzatainak megalapozásához szükséges egyes önkormányzati rendeletek módosításáról szóló rendeletben határozza meg.</w:t>
      </w:r>
    </w:p>
    <w:p w:rsidR="008F59DC" w:rsidRPr="00B92B3E" w:rsidRDefault="008F59DC" w:rsidP="008F59DC">
      <w:pPr>
        <w:ind w:left="426" w:hanging="426"/>
        <w:jc w:val="both"/>
      </w:pPr>
    </w:p>
    <w:p w:rsidR="008F59DC" w:rsidRPr="00B92B3E" w:rsidRDefault="008F59DC" w:rsidP="008F59DC">
      <w:pPr>
        <w:ind w:left="426" w:hanging="426"/>
        <w:jc w:val="both"/>
      </w:pPr>
      <w:r w:rsidRPr="00B92B3E">
        <w:t>(3)</w:t>
      </w:r>
      <w:r w:rsidRPr="00B92B3E">
        <w:tab/>
        <w:t>A lakás minőségétől függő minimális pontszám:</w:t>
      </w:r>
    </w:p>
    <w:p w:rsidR="008F59DC" w:rsidRPr="00B92B3E" w:rsidRDefault="008F59DC" w:rsidP="008F59DC">
      <w:pPr>
        <w:ind w:left="426" w:hanging="426"/>
        <w:jc w:val="both"/>
      </w:pPr>
    </w:p>
    <w:p w:rsidR="008F59DC" w:rsidRPr="00B92B3E" w:rsidRDefault="008F59DC" w:rsidP="008F59DC">
      <w:pPr>
        <w:ind w:left="426"/>
        <w:jc w:val="both"/>
      </w:pPr>
      <w:r w:rsidRPr="00B92B3E">
        <w:t>A lakás komfortfokozatától függő alappontszámot korrigálni kell a csökkentő, illetve a növelő tényezők értékével. Az így kapott értéket meg kell szorozni a lakás elhelyezkedésének megfelelő övezethez tartozó szorzószámmal.</w:t>
      </w:r>
    </w:p>
    <w:p w:rsidR="008F59DC" w:rsidRPr="00B92B3E" w:rsidRDefault="008F59DC" w:rsidP="008F59DC">
      <w:pPr>
        <w:ind w:left="426"/>
        <w:jc w:val="both"/>
      </w:pPr>
      <w:r w:rsidRPr="00B92B3E">
        <w:t>Amennyiben a számítás a komfortfokozattól függő minimális pontértéknél kevesebbet ad, az eredményt a minimális értékre kell módosítani.</w:t>
      </w:r>
    </w:p>
    <w:p w:rsidR="008F59DC" w:rsidRPr="00B92B3E" w:rsidRDefault="008F59DC" w:rsidP="008F59DC">
      <w:pPr>
        <w:ind w:left="426" w:hanging="426"/>
        <w:jc w:val="both"/>
      </w:pPr>
    </w:p>
    <w:p w:rsidR="008F59DC" w:rsidRPr="00B92B3E" w:rsidRDefault="008F59DC" w:rsidP="008F59DC">
      <w:pPr>
        <w:ind w:firstLine="426"/>
        <w:jc w:val="both"/>
      </w:pPr>
      <w:r w:rsidRPr="00B92B3E">
        <w:t>A komfortfokozattól függő minimális pontszám: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  <w:gridCol w:w="2855"/>
      </w:tblGrid>
      <w:tr w:rsidR="008F59DC" w:rsidRPr="00B92B3E" w:rsidTr="00876F85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both"/>
            </w:pPr>
            <w:r w:rsidRPr="00B92B3E">
              <w:t>Összkomfortos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60 pont</w:t>
            </w:r>
          </w:p>
        </w:tc>
      </w:tr>
      <w:tr w:rsidR="008F59DC" w:rsidRPr="00B92B3E" w:rsidTr="00876F85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both"/>
            </w:pPr>
            <w:r w:rsidRPr="00B92B3E">
              <w:t>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 60 pont</w:t>
            </w:r>
          </w:p>
        </w:tc>
      </w:tr>
      <w:tr w:rsidR="008F59DC" w:rsidRPr="00B92B3E" w:rsidTr="00876F85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both"/>
            </w:pPr>
            <w:r w:rsidRPr="00B92B3E">
              <w:t>Félkomfortos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35</w:t>
            </w:r>
            <w:r w:rsidRPr="00B92B3E">
              <w:rPr>
                <w:rStyle w:val="Lbjegyzet-hivatkozs"/>
              </w:rPr>
              <w:footnoteReference w:id="4"/>
            </w:r>
            <w:r w:rsidRPr="00B92B3E">
              <w:t xml:space="preserve"> pont</w:t>
            </w:r>
          </w:p>
        </w:tc>
      </w:tr>
      <w:tr w:rsidR="008F59DC" w:rsidRPr="00B92B3E" w:rsidTr="00876F85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both"/>
            </w:pPr>
            <w:r w:rsidRPr="00B92B3E">
              <w:t>Komfort nélküli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25</w:t>
            </w:r>
            <w:r w:rsidRPr="00B92B3E">
              <w:rPr>
                <w:vertAlign w:val="superscript"/>
              </w:rPr>
              <w:t>16</w:t>
            </w:r>
            <w:r w:rsidRPr="00B92B3E">
              <w:t xml:space="preserve"> pont</w:t>
            </w:r>
          </w:p>
        </w:tc>
      </w:tr>
      <w:tr w:rsidR="008F59DC" w:rsidRPr="00B92B3E" w:rsidTr="00876F85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both"/>
            </w:pPr>
            <w:r w:rsidRPr="00B92B3E">
              <w:t>Szükséglakás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 20</w:t>
            </w:r>
            <w:r w:rsidRPr="00B92B3E">
              <w:rPr>
                <w:vertAlign w:val="superscript"/>
              </w:rPr>
              <w:t>16</w:t>
            </w:r>
            <w:r w:rsidRPr="00B92B3E">
              <w:t xml:space="preserve"> pont</w:t>
            </w:r>
          </w:p>
        </w:tc>
      </w:tr>
    </w:tbl>
    <w:p w:rsidR="008F59DC" w:rsidRPr="00B92B3E" w:rsidRDefault="008F59DC" w:rsidP="008F59DC">
      <w:pPr>
        <w:jc w:val="both"/>
      </w:pPr>
      <w:r w:rsidRPr="00B92B3E">
        <w:t>    </w:t>
      </w:r>
    </w:p>
    <w:p w:rsidR="008F59DC" w:rsidRPr="00B92B3E" w:rsidRDefault="008F59DC" w:rsidP="008F59DC">
      <w:pPr>
        <w:ind w:left="426" w:hanging="426"/>
        <w:jc w:val="both"/>
      </w:pPr>
      <w:r w:rsidRPr="00B92B3E">
        <w:t>(4)</w:t>
      </w:r>
      <w:r w:rsidRPr="00B92B3E">
        <w:tab/>
        <w:t>A komfortfokozattól függő alappontszám: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  <w:gridCol w:w="2855"/>
      </w:tblGrid>
      <w:tr w:rsidR="008F59DC" w:rsidRPr="00B92B3E" w:rsidTr="00876F85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both"/>
            </w:pPr>
            <w:r w:rsidRPr="00B92B3E">
              <w:t>Összkomfortos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100 pont</w:t>
            </w:r>
          </w:p>
        </w:tc>
      </w:tr>
      <w:tr w:rsidR="008F59DC" w:rsidRPr="00B92B3E" w:rsidTr="00876F85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both"/>
            </w:pPr>
            <w:r w:rsidRPr="00B92B3E">
              <w:t>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 100 pont</w:t>
            </w:r>
          </w:p>
        </w:tc>
      </w:tr>
      <w:tr w:rsidR="008F59DC" w:rsidRPr="00B92B3E" w:rsidTr="00876F85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both"/>
            </w:pPr>
            <w:r w:rsidRPr="00B92B3E">
              <w:t>Félkomfortos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65</w:t>
            </w:r>
            <w:r w:rsidRPr="00B92B3E">
              <w:rPr>
                <w:rStyle w:val="Lbjegyzet-hivatkozs"/>
              </w:rPr>
              <w:footnoteReference w:id="5"/>
            </w:r>
            <w:r w:rsidRPr="00B92B3E">
              <w:t xml:space="preserve"> pont</w:t>
            </w:r>
          </w:p>
        </w:tc>
      </w:tr>
      <w:tr w:rsidR="008F59DC" w:rsidRPr="00B92B3E" w:rsidTr="00876F85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both"/>
            </w:pPr>
            <w:r w:rsidRPr="00B92B3E">
              <w:t>Komfort nélküli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50</w:t>
            </w:r>
            <w:r w:rsidRPr="00B92B3E">
              <w:rPr>
                <w:vertAlign w:val="superscript"/>
              </w:rPr>
              <w:t>17</w:t>
            </w:r>
            <w:r w:rsidRPr="00B92B3E">
              <w:t xml:space="preserve"> pont</w:t>
            </w:r>
          </w:p>
        </w:tc>
      </w:tr>
      <w:tr w:rsidR="008F59DC" w:rsidRPr="00B92B3E" w:rsidTr="00876F85"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both"/>
            </w:pPr>
            <w:r w:rsidRPr="00B92B3E">
              <w:t>Szükséglakás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 40</w:t>
            </w:r>
            <w:r w:rsidRPr="00B92B3E">
              <w:rPr>
                <w:vertAlign w:val="superscript"/>
              </w:rPr>
              <w:t>17</w:t>
            </w:r>
            <w:r w:rsidRPr="00B92B3E">
              <w:t xml:space="preserve"> pont</w:t>
            </w:r>
          </w:p>
        </w:tc>
      </w:tr>
    </w:tbl>
    <w:p w:rsidR="008F59DC" w:rsidRPr="00B92B3E" w:rsidRDefault="008F59DC" w:rsidP="008F59DC">
      <w:pPr>
        <w:jc w:val="both"/>
      </w:pPr>
    </w:p>
    <w:p w:rsidR="008F59DC" w:rsidRPr="00B92B3E" w:rsidRDefault="008F59DC" w:rsidP="008F59DC">
      <w:pPr>
        <w:ind w:left="426" w:hanging="426"/>
        <w:jc w:val="both"/>
      </w:pPr>
      <w:r w:rsidRPr="00B92B3E">
        <w:t>(5)</w:t>
      </w:r>
      <w:r w:rsidRPr="00B92B3E">
        <w:tab/>
        <w:t>Csökkentő tényezők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485"/>
      </w:tblGrid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társbérleti lakrész</w:t>
            </w:r>
          </w:p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legalább félkomfortos lakásban a főzőhelyiség vagy a fürdőhelyiség nem fűtött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-20 pont</w:t>
            </w:r>
          </w:p>
          <w:p w:rsidR="008F59DC" w:rsidRPr="00B92B3E" w:rsidRDefault="008F59DC" w:rsidP="00876F85">
            <w:pPr>
              <w:jc w:val="right"/>
            </w:pPr>
          </w:p>
          <w:p w:rsidR="008F59DC" w:rsidRPr="00B92B3E" w:rsidRDefault="008F59DC" w:rsidP="00876F85">
            <w:pPr>
              <w:jc w:val="right"/>
            </w:pPr>
            <w:r w:rsidRPr="00B92B3E">
              <w:t>-5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 xml:space="preserve">a legalább félkomfortos lakásban a </w:t>
            </w:r>
            <w:proofErr w:type="spellStart"/>
            <w:r w:rsidRPr="00B92B3E">
              <w:t>melegvíz</w:t>
            </w:r>
            <w:proofErr w:type="spellEnd"/>
            <w:r w:rsidRPr="00B92B3E">
              <w:t xml:space="preserve"> ellátás a főzőhelyiségből hiányzik</w:t>
            </w:r>
          </w:p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legalább félkomfortos lakásnak nincs közlekedő helysége</w:t>
            </w:r>
          </w:p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lakásban fürdőhelyiség helyett zuhanyzó (mosdó) fülke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</w:p>
          <w:p w:rsidR="008F59DC" w:rsidRPr="00B92B3E" w:rsidRDefault="008F59DC" w:rsidP="00876F85">
            <w:pPr>
              <w:jc w:val="right"/>
            </w:pPr>
            <w:r w:rsidRPr="00B92B3E">
              <w:t>- 5 pont</w:t>
            </w:r>
          </w:p>
          <w:p w:rsidR="008F59DC" w:rsidRPr="00B92B3E" w:rsidRDefault="008F59DC" w:rsidP="00876F85">
            <w:pPr>
              <w:jc w:val="right"/>
            </w:pPr>
            <w:r w:rsidRPr="00B92B3E">
              <w:t>- 5 pont</w:t>
            </w:r>
          </w:p>
          <w:p w:rsidR="008F59DC" w:rsidRPr="00B92B3E" w:rsidRDefault="008F59DC" w:rsidP="00876F85">
            <w:pPr>
              <w:jc w:val="right"/>
            </w:pPr>
            <w:r w:rsidRPr="00B92B3E">
              <w:t>- 5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 valamennyi ablaka fával nem rendelkező zárt udvarra néz és az épület legfelső szintje átlagosan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both"/>
            </w:pP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firstLine="213"/>
              <w:jc w:val="both"/>
            </w:pPr>
            <w:r w:rsidRPr="00B92B3E">
              <w:t xml:space="preserve">      a) két szinttel van magasabban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- 5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71"/>
              <w:jc w:val="both"/>
            </w:pPr>
            <w:r w:rsidRPr="00B92B3E">
              <w:tab/>
              <w:t xml:space="preserve">          b) három vagy több szinttel van magasabban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- 10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lastRenderedPageBreak/>
              <w:t>-</w:t>
            </w:r>
            <w:r w:rsidRPr="00B92B3E">
              <w:tab/>
              <w:t>felvonó nélküli épületben a lakás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ab/>
              <w:t xml:space="preserve">          a) </w:t>
            </w:r>
            <w:proofErr w:type="spellStart"/>
            <w:r w:rsidRPr="00B92B3E">
              <w:t>a</w:t>
            </w:r>
            <w:proofErr w:type="spellEnd"/>
            <w:r w:rsidRPr="00B92B3E">
              <w:t xml:space="preserve"> harmadik emeleten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- 5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ab/>
              <w:t xml:space="preserve">          b) a negyedik vagy annál magasabb emeleten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- 10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 alagsorban van, kétharmadát meghaladó mértékben a terepszint alatt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- 10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 xml:space="preserve">a lakásban talajvíz miatt falnedvesedés tapasztalható legalább </w:t>
            </w:r>
            <w:smartTag w:uri="urn:schemas-microsoft-com:office:smarttags" w:element="metricconverter">
              <w:smartTagPr>
                <w:attr w:name="ProductID" w:val="2 m2"/>
              </w:smartTagPr>
              <w:r w:rsidRPr="00B92B3E">
                <w:t>2 m2</w:t>
              </w:r>
            </w:smartTag>
            <w:r w:rsidRPr="00B92B3E">
              <w:t xml:space="preserve"> falfelületen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</w:p>
          <w:p w:rsidR="008F59DC" w:rsidRPr="00B92B3E" w:rsidRDefault="008F59DC" w:rsidP="00876F85">
            <w:pPr>
              <w:jc w:val="right"/>
            </w:pPr>
            <w:r w:rsidRPr="00B92B3E">
              <w:t>- 20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lakásban – faanyagvédelmi szakvélemény megállapítása szerint – egészségre káros gombafertőzés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</w:p>
          <w:p w:rsidR="008F59DC" w:rsidRPr="00B92B3E" w:rsidRDefault="008F59DC" w:rsidP="00876F85">
            <w:pPr>
              <w:jc w:val="right"/>
            </w:pPr>
            <w:r w:rsidRPr="00B92B3E">
              <w:t>- 10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 gázellátással nem rendelkezik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- 10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az épület aládúcolt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- 5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 aládúcolt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-10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rPr>
                <w:rStyle w:val="Lbjegyzet-hivatkozs"/>
              </w:rPr>
              <w:footnoteReference w:id="6"/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az épület 15-25 éve épült vagy részesült felújításban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- 4</w:t>
            </w:r>
            <w:r w:rsidRPr="00B92B3E">
              <w:rPr>
                <w:rStyle w:val="Lbjegyzet-hivatkozs"/>
              </w:rPr>
              <w:footnoteReference w:id="7"/>
            </w:r>
            <w:r w:rsidRPr="00B92B3E">
              <w:t xml:space="preserve">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 xml:space="preserve">az épület 25 éven belül nem </w:t>
            </w:r>
            <w:proofErr w:type="gramStart"/>
            <w:r w:rsidRPr="00B92B3E">
              <w:t>részesült  felújításban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- 8</w:t>
            </w:r>
            <w:r w:rsidRPr="00B92B3E">
              <w:rPr>
                <w:vertAlign w:val="superscript"/>
              </w:rPr>
              <w:t>18</w:t>
            </w:r>
            <w:r w:rsidRPr="00B92B3E">
              <w:t xml:space="preserve">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bauxitbetonos épület esetében lakásonként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- 5 pont</w:t>
            </w:r>
          </w:p>
        </w:tc>
      </w:tr>
    </w:tbl>
    <w:p w:rsidR="008F59DC" w:rsidRPr="00B92B3E" w:rsidRDefault="008F59DC" w:rsidP="008F59DC">
      <w:pPr>
        <w:jc w:val="both"/>
      </w:pPr>
    </w:p>
    <w:p w:rsidR="008F59DC" w:rsidRPr="00B92B3E" w:rsidRDefault="008F59DC" w:rsidP="008F59DC">
      <w:pPr>
        <w:ind w:left="426" w:hanging="426"/>
        <w:jc w:val="both"/>
      </w:pPr>
      <w:r w:rsidRPr="00B92B3E">
        <w:t>(6)</w:t>
      </w:r>
      <w:r w:rsidRPr="00B92B3E">
        <w:tab/>
        <w:t>Növelő tényezők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485"/>
      </w:tblGrid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 a lakásban egynél több WC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+ 5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t>- a lakásban egynél több fürdőhelyiség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  <w:r w:rsidRPr="00B92B3E">
              <w:t>+ 10 pont</w:t>
            </w: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rPr>
                <w:rStyle w:val="Lbjegyzet-hivatkozs"/>
              </w:rPr>
              <w:footnoteReference w:id="8"/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</w:p>
        </w:tc>
      </w:tr>
      <w:tr w:rsidR="008F59DC" w:rsidRPr="00B92B3E" w:rsidTr="00876F8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ind w:left="142" w:hanging="142"/>
              <w:jc w:val="both"/>
            </w:pPr>
            <w:r w:rsidRPr="00B92B3E">
              <w:rPr>
                <w:rStyle w:val="Lbjegyzet-hivatkozs"/>
              </w:rPr>
              <w:footnoteReference w:id="9"/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8F59DC" w:rsidRPr="00B92B3E" w:rsidRDefault="008F59DC" w:rsidP="00876F85">
            <w:pPr>
              <w:jc w:val="right"/>
            </w:pPr>
          </w:p>
        </w:tc>
      </w:tr>
    </w:tbl>
    <w:p w:rsidR="008F59DC" w:rsidRPr="00B92B3E" w:rsidRDefault="008F59DC" w:rsidP="008F59DC">
      <w:pPr>
        <w:jc w:val="both"/>
      </w:pPr>
    </w:p>
    <w:p w:rsidR="008F59DC" w:rsidRPr="00B92B3E" w:rsidRDefault="008F59DC" w:rsidP="008F59DC">
      <w:pPr>
        <w:pStyle w:val="Szvegtrzs"/>
        <w:ind w:left="540" w:hanging="540"/>
      </w:pPr>
      <w:r w:rsidRPr="00B92B3E">
        <w:t>(7)</w:t>
      </w:r>
      <w:r w:rsidRPr="00B92B3E">
        <w:tab/>
        <w:t>Övezeti szorzó</w:t>
      </w: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  <w:t>1,0</w:t>
      </w:r>
    </w:p>
    <w:p w:rsidR="008F59DC" w:rsidRPr="00B92B3E" w:rsidRDefault="008F59DC" w:rsidP="008F59DC">
      <w:pPr>
        <w:pStyle w:val="Szvegtrzs"/>
        <w:ind w:left="540" w:hanging="540"/>
      </w:pPr>
      <w:r w:rsidRPr="00B92B3E">
        <w:tab/>
      </w:r>
      <w:r w:rsidRPr="00B92B3E">
        <w:tab/>
      </w:r>
      <w:r w:rsidRPr="00B92B3E">
        <w:tab/>
      </w:r>
      <w:proofErr w:type="gramStart"/>
      <w:r w:rsidRPr="00B92B3E">
        <w:t>kivéve</w:t>
      </w:r>
      <w:proofErr w:type="gramEnd"/>
      <w:r w:rsidRPr="00B92B3E">
        <w:t>:</w:t>
      </w:r>
      <w:r w:rsidRPr="00B92B3E">
        <w:tab/>
        <w:t>bontandó-felújítandó épületek</w:t>
      </w:r>
      <w:r w:rsidRPr="00B92B3E">
        <w:tab/>
      </w:r>
      <w:r w:rsidRPr="00B92B3E">
        <w:tab/>
      </w:r>
      <w:r w:rsidRPr="00B92B3E">
        <w:tab/>
        <w:t>0,6</w:t>
      </w:r>
    </w:p>
    <w:p w:rsidR="008F59DC" w:rsidRPr="00B92B3E" w:rsidRDefault="008F59DC" w:rsidP="008F59DC">
      <w:pPr>
        <w:pStyle w:val="Szvegtrzs"/>
        <w:ind w:left="540" w:hanging="540"/>
      </w:pP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</w:r>
      <w:proofErr w:type="gramStart"/>
      <w:r w:rsidRPr="00B92B3E">
        <w:t>kivéve</w:t>
      </w:r>
      <w:proofErr w:type="gramEnd"/>
      <w:r w:rsidRPr="00B92B3E">
        <w:t>:</w:t>
      </w:r>
      <w:r w:rsidRPr="00B92B3E">
        <w:tab/>
        <w:t>Belső-Ferencváros</w:t>
      </w:r>
      <w:r w:rsidRPr="00B92B3E">
        <w:tab/>
      </w:r>
      <w:r w:rsidRPr="00B92B3E">
        <w:tab/>
        <w:t>0,8</w:t>
      </w:r>
    </w:p>
    <w:p w:rsidR="008F59DC" w:rsidRPr="00B92B3E" w:rsidRDefault="008F59DC" w:rsidP="008F59DC">
      <w:pPr>
        <w:pStyle w:val="Szvegtrzs"/>
        <w:ind w:left="540" w:hanging="540"/>
      </w:pP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  <w:t xml:space="preserve">Illatos u., Kén u., </w:t>
      </w:r>
      <w:r w:rsidRPr="00B92B3E">
        <w:tab/>
      </w:r>
      <w:r w:rsidRPr="00B92B3E">
        <w:tab/>
        <w:t>0,3</w:t>
      </w:r>
    </w:p>
    <w:p w:rsidR="008F59DC" w:rsidRPr="00B92B3E" w:rsidRDefault="008F59DC" w:rsidP="008F59DC">
      <w:pPr>
        <w:pStyle w:val="Szvegtrzs"/>
        <w:ind w:left="540" w:hanging="540"/>
      </w:pPr>
      <w:r w:rsidRPr="00B92B3E">
        <w:tab/>
      </w:r>
      <w:r w:rsidRPr="00B92B3E">
        <w:tab/>
      </w:r>
      <w:r w:rsidRPr="00B92B3E">
        <w:tab/>
      </w:r>
      <w:r w:rsidRPr="00B92B3E">
        <w:tab/>
        <w:t>Aszódi úti lakótelep, Gyáli út</w:t>
      </w:r>
      <w:r w:rsidRPr="00B92B3E">
        <w:rPr>
          <w:rStyle w:val="Lbjegyzet-hivatkozs"/>
        </w:rPr>
        <w:footnoteReference w:id="10"/>
      </w:r>
      <w:r w:rsidRPr="00B92B3E">
        <w:tab/>
      </w:r>
      <w:r w:rsidRPr="00B92B3E">
        <w:tab/>
      </w:r>
      <w:r w:rsidRPr="00B92B3E">
        <w:tab/>
        <w:t>0,6</w:t>
      </w:r>
    </w:p>
    <w:p w:rsidR="008F59DC" w:rsidRPr="00B92B3E" w:rsidRDefault="008F59DC" w:rsidP="008F59DC">
      <w:pPr>
        <w:jc w:val="both"/>
      </w:pPr>
    </w:p>
    <w:p w:rsidR="008F59DC" w:rsidRPr="00B92B3E" w:rsidRDefault="008F59DC" w:rsidP="008F59DC">
      <w:pPr>
        <w:ind w:left="426" w:hanging="426"/>
        <w:jc w:val="both"/>
      </w:pPr>
      <w:r w:rsidRPr="00B92B3E">
        <w:t>(8)</w:t>
      </w:r>
      <w:r w:rsidRPr="00B92B3E">
        <w:tab/>
        <w:t>Társbérleti lakrészek közösen használt területét a kizárólagosan használt lakrészek területének arányában kell megosztani.</w:t>
      </w:r>
    </w:p>
    <w:p w:rsidR="005160B5" w:rsidRDefault="005160B5"/>
    <w:sectPr w:rsidR="00516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9DC" w:rsidRDefault="008F59DC" w:rsidP="008F59DC">
      <w:r>
        <w:separator/>
      </w:r>
    </w:p>
  </w:endnote>
  <w:endnote w:type="continuationSeparator" w:id="0">
    <w:p w:rsidR="008F59DC" w:rsidRDefault="008F59DC" w:rsidP="008F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9DC" w:rsidRDefault="008F59DC" w:rsidP="008F59DC">
      <w:r>
        <w:separator/>
      </w:r>
    </w:p>
  </w:footnote>
  <w:footnote w:type="continuationSeparator" w:id="0">
    <w:p w:rsidR="008F59DC" w:rsidRDefault="008F59DC" w:rsidP="008F59DC">
      <w:r>
        <w:continuationSeparator/>
      </w:r>
    </w:p>
  </w:footnote>
  <w:footnote w:id="1">
    <w:p w:rsidR="008F59DC" w:rsidRDefault="008F59DC" w:rsidP="008F59DC">
      <w:pPr>
        <w:pStyle w:val="Lbjegyzetszveg"/>
      </w:pPr>
      <w:r>
        <w:rPr>
          <w:rStyle w:val="Lbjegyzet-hivatkozs"/>
        </w:rPr>
        <w:footnoteRef/>
      </w:r>
      <w:r>
        <w:t xml:space="preserve"> Kiegészítette a 11/2008. (IV.11.) 9.§ (1) bekezdése, hatályos 2008. IV.11-től.</w:t>
      </w:r>
    </w:p>
  </w:footnote>
  <w:footnote w:id="2">
    <w:p w:rsidR="008F59DC" w:rsidRDefault="008F59DC" w:rsidP="008F59DC">
      <w:pPr>
        <w:pStyle w:val="Lbjegyzetszveg"/>
      </w:pPr>
      <w:r>
        <w:rPr>
          <w:rStyle w:val="Lbjegyzet-hivatkozs"/>
        </w:rPr>
        <w:footnoteRef/>
      </w:r>
      <w:r>
        <w:t xml:space="preserve"> Módosította a 21/2009. (XI.06.) rendelet 11.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2009. 11.06-tól.</w:t>
      </w:r>
    </w:p>
  </w:footnote>
  <w:footnote w:id="3">
    <w:p w:rsidR="008F59DC" w:rsidRDefault="008F59DC" w:rsidP="008F59DC">
      <w:pPr>
        <w:pStyle w:val="Lbjegyzetszveg"/>
      </w:pPr>
      <w:r>
        <w:rPr>
          <w:rStyle w:val="Lbjegyzet-hivatkozs"/>
        </w:rPr>
        <w:footnoteRef/>
      </w:r>
      <w:r>
        <w:t xml:space="preserve"> Módosította a 8/2012. (II.21.) rendelet 5.§ (2) bekezdése, hatályos 2012. február 22-től.</w:t>
      </w:r>
    </w:p>
  </w:footnote>
  <w:footnote w:id="4">
    <w:p w:rsidR="008F59DC" w:rsidRDefault="008F59DC" w:rsidP="008F59DC">
      <w:pPr>
        <w:pStyle w:val="Lbjegyzetszveg"/>
      </w:pPr>
      <w:r>
        <w:rPr>
          <w:rStyle w:val="Lbjegyzet-hivatkozs"/>
        </w:rPr>
        <w:footnoteRef/>
      </w:r>
      <w:r>
        <w:t xml:space="preserve"> Módosította a 31/2006. (XII.07.) rendelet 11.§ (1) bekezdése, hatályos 2006. 12.07-től.</w:t>
      </w:r>
    </w:p>
  </w:footnote>
  <w:footnote w:id="5">
    <w:p w:rsidR="008F59DC" w:rsidRDefault="008F59DC" w:rsidP="008F59DC">
      <w:pPr>
        <w:pStyle w:val="Lbjegyzetszveg"/>
      </w:pPr>
      <w:r>
        <w:rPr>
          <w:rStyle w:val="Lbjegyzet-hivatkozs"/>
        </w:rPr>
        <w:footnoteRef/>
      </w:r>
      <w:r>
        <w:t xml:space="preserve"> Módosította a 31/2006. (XII.07.) rendelet 11.§ (2) bekezdése, hatályos 2006. 12.07-től.</w:t>
      </w:r>
    </w:p>
  </w:footnote>
  <w:footnote w:id="6">
    <w:p w:rsidR="008F59DC" w:rsidRDefault="008F59DC" w:rsidP="008F59DC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6.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</w:t>
      </w:r>
    </w:p>
  </w:footnote>
  <w:footnote w:id="7">
    <w:p w:rsidR="008F59DC" w:rsidRDefault="008F59DC" w:rsidP="008F59DC">
      <w:pPr>
        <w:pStyle w:val="Lbjegyzetszveg"/>
      </w:pPr>
      <w:r>
        <w:rPr>
          <w:rStyle w:val="Lbjegyzet-hivatkozs"/>
        </w:rPr>
        <w:footnoteRef/>
      </w:r>
      <w:r>
        <w:t xml:space="preserve"> Módosította a 31/2006. (XII.07.) rendelet 11.§ (3) bekezdése, hatályos 2006. 12.07-től.</w:t>
      </w:r>
    </w:p>
  </w:footnote>
  <w:footnote w:id="8">
    <w:p w:rsidR="008F59DC" w:rsidRDefault="008F59DC" w:rsidP="008F59DC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6.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</w:t>
      </w:r>
    </w:p>
  </w:footnote>
  <w:footnote w:id="9">
    <w:p w:rsidR="008F59DC" w:rsidRDefault="008F59DC" w:rsidP="008F59DC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6.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</w:t>
      </w:r>
    </w:p>
  </w:footnote>
  <w:footnote w:id="10">
    <w:p w:rsidR="008F59DC" w:rsidRDefault="008F59DC" w:rsidP="008F59DC">
      <w:pPr>
        <w:pStyle w:val="Lbjegyzetszveg"/>
      </w:pPr>
      <w:bookmarkStart w:id="0" w:name="_GoBack"/>
      <w:bookmarkEnd w:id="0"/>
      <w:r>
        <w:rPr>
          <w:rStyle w:val="Lbjegyzet-hivatkozs"/>
        </w:rPr>
        <w:footnoteRef/>
      </w:r>
      <w:r>
        <w:t xml:space="preserve"> Módosította a 31/2006. (XII.07.) rendelet 11.§ (4) bekezdése, hatályos 2006. 12.07-től.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DC"/>
    <w:rsid w:val="005160B5"/>
    <w:rsid w:val="008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59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F59D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F59DC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8F59DC"/>
    <w:rPr>
      <w:rFonts w:cs="Times New Roman"/>
      <w:vertAlign w:val="superscript"/>
    </w:rPr>
  </w:style>
  <w:style w:type="paragraph" w:styleId="Szvegtrzs">
    <w:name w:val="Body Text"/>
    <w:basedOn w:val="Norml"/>
    <w:link w:val="SzvegtrzsChar"/>
    <w:rsid w:val="008F59DC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8F59DC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59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F59D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F59DC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8F59DC"/>
    <w:rPr>
      <w:rFonts w:cs="Times New Roman"/>
      <w:vertAlign w:val="superscript"/>
    </w:rPr>
  </w:style>
  <w:style w:type="paragraph" w:styleId="Szvegtrzs">
    <w:name w:val="Body Text"/>
    <w:basedOn w:val="Norml"/>
    <w:link w:val="SzvegtrzsChar"/>
    <w:rsid w:val="008F59DC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8F59DC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2015-06-14T14:38:00Z</dcterms:created>
  <dcterms:modified xsi:type="dcterms:W3CDTF">2015-06-14T14:40:00Z</dcterms:modified>
</cp:coreProperties>
</file>