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84646" w14:textId="41927F61" w:rsidR="00131EB8" w:rsidRDefault="003A2CDE">
      <w:pPr>
        <w:spacing w:after="0" w:line="360" w:lineRule="exact"/>
        <w:jc w:val="right"/>
        <w:rPr>
          <w:rFonts w:eastAsia="Times New Roman" w:cs="Times New Roman"/>
          <w:i/>
          <w:color w:val="auto"/>
          <w:highlight w:val="white"/>
          <w:u w:val="single"/>
        </w:rPr>
      </w:pPr>
      <w:r>
        <w:rPr>
          <w:rFonts w:eastAsia="Times New Roman" w:cs="Times New Roman"/>
          <w:i/>
          <w:color w:val="auto"/>
          <w:u w:val="single"/>
          <w:shd w:val="clear" w:color="auto" w:fill="FFFFFF"/>
        </w:rPr>
        <w:t>5. számú melléklet a 17/2019. (X. 25.) rendelethez</w:t>
      </w:r>
      <w:r w:rsidR="000D2388">
        <w:rPr>
          <w:rStyle w:val="Lbjegyzet-hivatkozs"/>
          <w:rFonts w:eastAsia="Times New Roman" w:cs="Times New Roman"/>
          <w:i/>
          <w:color w:val="auto"/>
          <w:u w:val="single"/>
          <w:shd w:val="clear" w:color="auto" w:fill="FFFFFF"/>
        </w:rPr>
        <w:footnoteReference w:id="1"/>
      </w:r>
    </w:p>
    <w:p w14:paraId="032CC3C6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color w:val="auto"/>
          <w:highlight w:val="white"/>
          <w:u w:val="single"/>
        </w:rPr>
      </w:pPr>
    </w:p>
    <w:p w14:paraId="675F3C53" w14:textId="77777777" w:rsidR="00131EB8" w:rsidRDefault="003A2CDE">
      <w:pPr>
        <w:spacing w:after="0" w:line="360" w:lineRule="exact"/>
        <w:jc w:val="center"/>
        <w:rPr>
          <w:rFonts w:eastAsia="Times New Roman" w:cs="Times New Roman"/>
          <w:b/>
          <w:color w:val="auto"/>
          <w:highlight w:val="white"/>
          <w:u w:val="single"/>
        </w:rPr>
      </w:pPr>
      <w:r>
        <w:rPr>
          <w:rFonts w:eastAsia="Times New Roman" w:cs="Times New Roman"/>
          <w:b/>
          <w:color w:val="auto"/>
          <w:u w:val="single"/>
          <w:shd w:val="clear" w:color="auto" w:fill="FFFFFF"/>
        </w:rPr>
        <w:t>A bizottságokra átruházott hatáskörök</w:t>
      </w:r>
    </w:p>
    <w:p w14:paraId="4B9A1B3D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color w:val="auto"/>
          <w:highlight w:val="white"/>
          <w:u w:val="single"/>
        </w:rPr>
      </w:pPr>
    </w:p>
    <w:p w14:paraId="7213D0E5" w14:textId="77777777" w:rsidR="00131EB8" w:rsidRDefault="003A2CDE">
      <w:pPr>
        <w:spacing w:after="120" w:line="360" w:lineRule="exact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shd w:val="clear" w:color="auto" w:fill="FFFFFF"/>
        </w:rPr>
        <w:t xml:space="preserve">I. </w:t>
      </w: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PÉNZÜGYI, GAZDASÁGI BIZOTTSÁG</w:t>
      </w:r>
    </w:p>
    <w:p w14:paraId="7D41C3F2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14:paraId="5F070456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saját bevételi források körét, a részesedés mértékét meghatározó, ezekkel kapcsolatos előterjesztéseket, </w:t>
      </w:r>
    </w:p>
    <w:p w14:paraId="2B3E46F6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önkormányzatot érintő adókkal kapcsolatos tevékenységet, </w:t>
      </w:r>
    </w:p>
    <w:p w14:paraId="0F351E8A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vagyonával való gazdálkodást, </w:t>
      </w:r>
    </w:p>
    <w:p w14:paraId="03E15F71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intézmény alapítását, összevonásának és megszüntetésének indokoltságát, </w:t>
      </w:r>
    </w:p>
    <w:p w14:paraId="78171437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érdekeltségű gazdasági társaság alapítását, belépés, összeolvadás, kilépés és megszűnés indokoltságát, </w:t>
      </w:r>
    </w:p>
    <w:p w14:paraId="286F7B97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gazdasági társaságának vezetői állásra, valamint a könyvvizsgáló álláshelyre kiírt pályázatot, és a vezető, illetve a könyvvizsgáló személyére vonatkozó javaslatot, </w:t>
      </w:r>
    </w:p>
    <w:p w14:paraId="57E52233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gazdasági programját, </w:t>
      </w:r>
    </w:p>
    <w:p w14:paraId="0C5DF046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vagyon felmérését, nyilvántartásba vételét, a törzsvagyon kimutatását, a vagyonátadás lebonyolítását, </w:t>
      </w:r>
    </w:p>
    <w:p w14:paraId="0AD75692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vagyon hasznosítását, a tulajdonosi jogok gyakorlásának formáját és eszközeit, </w:t>
      </w:r>
    </w:p>
    <w:p w14:paraId="0220C7CE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vállalkozás indítását, illetőleg az abban való részvételt, </w:t>
      </w:r>
    </w:p>
    <w:p w14:paraId="3E9DD61E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vagyont érintő gazdálkodó szervezetek, vállalkozók által benyújtott kérelmeket, megkereséseket, </w:t>
      </w:r>
    </w:p>
    <w:p w14:paraId="482C2427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pályázati források, valamint egyéb állami támogatások igénylésével kapcsolatos előterjesztéseket, és ehhez kapcsolódó beruházási koncepciókat,</w:t>
      </w:r>
    </w:p>
    <w:p w14:paraId="6073C22F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önkormányzat idegenforgalmi rendeltetésű fejlesztéseire, beruházásaira, az idegenforgalmi rendeltetésű vagyontárgyainak hasznosítására vonatkozó előterjesztéseket,</w:t>
      </w:r>
    </w:p>
    <w:p w14:paraId="53ED72FE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helyi építési szabályzat és szabályozási terv, valamint ezek módosítási tervezetét, a településszerkezeti terv és módosítási tervezetét, </w:t>
      </w:r>
    </w:p>
    <w:p w14:paraId="57616605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városfejlesztési és üzemeltetési területet érintő pályázatok benyújtására vonatkozó előterjesztéseket, szakmai anyagokat, </w:t>
      </w:r>
    </w:p>
    <w:p w14:paraId="4E93AF4C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lastRenderedPageBreak/>
        <w:t xml:space="preserve">a vállalkozásélénkítő, munkahelyteremtő, ipari parkot érintő előterjesztéseket, </w:t>
      </w:r>
    </w:p>
    <w:p w14:paraId="12B8DC84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által alapított költségvetési szerveknél a közbeszerzésekről rendelkező törvény, valamint az önkormányzat által elfogadott közbeszerzési szabályzat előírásainak betartását, a közbeszerzési eljárások lefolytatásának rendjét, a versenyeztetés tisztaságát, az esélyegyenlőség biztosítását, </w:t>
      </w:r>
    </w:p>
    <w:p w14:paraId="58F068A0" w14:textId="77777777" w:rsidR="00131EB8" w:rsidRDefault="003A2CDE">
      <w:pPr>
        <w:pStyle w:val="Listaszerbekezds"/>
        <w:numPr>
          <w:ilvl w:val="1"/>
          <w:numId w:val="2"/>
        </w:numPr>
        <w:spacing w:after="0" w:line="360" w:lineRule="exact"/>
        <w:ind w:left="851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közrend-közbiztonság helyzetéről készített beszámolót. </w:t>
      </w:r>
    </w:p>
    <w:p w14:paraId="19EAB691" w14:textId="77777777" w:rsidR="00131EB8" w:rsidRDefault="00131EB8">
      <w:pPr>
        <w:spacing w:after="0" w:line="360" w:lineRule="exact"/>
        <w:ind w:firstLine="708"/>
        <w:jc w:val="both"/>
        <w:rPr>
          <w:rFonts w:eastAsia="Times New Roman" w:cs="Times New Roman"/>
          <w:color w:val="auto"/>
          <w:highlight w:val="white"/>
        </w:rPr>
      </w:pPr>
    </w:p>
    <w:p w14:paraId="5C6A967D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Javaslatot tesz a Képviselő-testületnek: </w:t>
      </w:r>
    </w:p>
    <w:p w14:paraId="001C33FF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polgármester, a foglalkoztatási jogviszonyban álló alpolgármester illetményére, költségátalányára, a társadalmi megbízatású alpolgármester tiszteletdíjának és költségátalányának megállapítására, </w:t>
      </w:r>
    </w:p>
    <w:p w14:paraId="55037768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városfejlesztési, vállalkozás-fejlesztési és munkahely-teremtési elképzelések, koncepciók előkészítésére, kidolgozására, végrehajtására, </w:t>
      </w:r>
    </w:p>
    <w:p w14:paraId="0108AC59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közterületi használati, bérleti, kommunális és közüzemi díjak, piac, vásár helyhasználati díjak, parkolási díjak mértékére, </w:t>
      </w:r>
    </w:p>
    <w:p w14:paraId="44C892D8" w14:textId="77777777" w:rsidR="00131EB8" w:rsidRDefault="003A2CDE">
      <w:pPr>
        <w:pStyle w:val="Listaszerbekezds"/>
        <w:numPr>
          <w:ilvl w:val="0"/>
          <w:numId w:val="4"/>
        </w:numPr>
        <w:spacing w:after="0" w:line="360" w:lineRule="exact"/>
        <w:ind w:left="993" w:hanging="436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Jászberényi Rendőrkapitányság Jászapáti Őrsparancsnokával közreműködve a bűnmegelőzési stratégára, melynek során együttműködik a Jászapáti Roma Nemzetiségi Önkormányzattal, Polgárőrséggel.</w:t>
      </w:r>
    </w:p>
    <w:p w14:paraId="5DB6515E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highlight w:val="white"/>
        </w:rPr>
      </w:pPr>
    </w:p>
    <w:p w14:paraId="365C73D7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Pénzügyi, Gazdasági Bizottság:</w:t>
      </w:r>
      <w:r>
        <w:rPr>
          <w:rFonts w:eastAsia="Times New Roman" w:cs="Times New Roman"/>
          <w:b/>
          <w:bCs/>
          <w:color w:val="auto"/>
          <w:shd w:val="clear" w:color="auto" w:fill="FFFFFF"/>
        </w:rPr>
        <w:t xml:space="preserve"> </w:t>
      </w:r>
    </w:p>
    <w:p w14:paraId="13D4E024" w14:textId="77777777" w:rsidR="00131EB8" w:rsidRDefault="003A2CDE">
      <w:pPr>
        <w:pStyle w:val="Listaszerbekezds"/>
        <w:numPr>
          <w:ilvl w:val="0"/>
          <w:numId w:val="5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Nyilván tartja és ellenőrzi a polgármester, alpolgármesterek és a képviselők vagyonnyilatkozatát.</w:t>
      </w:r>
    </w:p>
    <w:p w14:paraId="68A7812B" w14:textId="77777777" w:rsidR="00131EB8" w:rsidRDefault="003A2CDE">
      <w:pPr>
        <w:pStyle w:val="Listaszerbekezds"/>
        <w:numPr>
          <w:ilvl w:val="0"/>
          <w:numId w:val="5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önkormányzati képviselő összeférhetetlenségének, </w:t>
      </w:r>
      <w:proofErr w:type="spellStart"/>
      <w:r>
        <w:rPr>
          <w:rFonts w:eastAsia="Times New Roman" w:cs="Times New Roman"/>
          <w:color w:val="auto"/>
          <w:shd w:val="clear" w:color="auto" w:fill="FFFFFF"/>
        </w:rPr>
        <w:t>méltatlanságának</w:t>
      </w:r>
      <w:proofErr w:type="spellEnd"/>
      <w:r>
        <w:rPr>
          <w:rFonts w:eastAsia="Times New Roman" w:cs="Times New Roman"/>
          <w:color w:val="auto"/>
          <w:shd w:val="clear" w:color="auto" w:fill="FFFFFF"/>
        </w:rPr>
        <w:t xml:space="preserve"> megállapítására irányuló kezdeményezést kivizsgálja.</w:t>
      </w:r>
    </w:p>
    <w:p w14:paraId="7D134262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b/>
          <w:color w:val="auto"/>
          <w:highlight w:val="white"/>
          <w:u w:val="single"/>
        </w:rPr>
      </w:pPr>
    </w:p>
    <w:p w14:paraId="66E69BCA" w14:textId="77777777" w:rsidR="00131EB8" w:rsidRDefault="003A2CDE">
      <w:pPr>
        <w:pStyle w:val="Listaszerbekezds"/>
        <w:numPr>
          <w:ilvl w:val="0"/>
          <w:numId w:val="1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 Pénzügyi, Gazdasági Bizottságra átruházott hatáskörök:</w:t>
      </w:r>
    </w:p>
    <w:p w14:paraId="37F38DB1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Ellátja a Képviselő-testület által elrendelt titkos szavazással kapcsolatos feladatokat.</w:t>
      </w:r>
    </w:p>
    <w:p w14:paraId="158F9C11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Pályázat benyújtásának időszakában, amennyiben fedezetet kell az önkormányzatnak biztosítani, a pályázat elbírálásához szükséges fedezetről (ingatlan, bankgarancia) a bizottság dönt.</w:t>
      </w:r>
    </w:p>
    <w:p w14:paraId="4162E6B5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i/>
          <w:color w:val="auto"/>
        </w:rPr>
      </w:pPr>
      <w:r>
        <w:rPr>
          <w:iCs/>
          <w:color w:val="auto"/>
        </w:rPr>
        <w:t>Ellátja a lakásrendelet szerit a hatáskörébe utalt feladatokat.</w:t>
      </w:r>
    </w:p>
    <w:p w14:paraId="0A397FE1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Az éves költségvetési rendeletben meghatározott pénzeszközök elosztásáról – a költségvetési rendeletben meghatározott célokra – pályázat útján határoz.</w:t>
      </w:r>
    </w:p>
    <w:p w14:paraId="5AEB9136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Személyes gondoskodás körébe tartozó ellátások iránti kérelmek, személyi térítési díj összegének vitatása, elengedésére vonatkozó kérelem, illetve az ellátás megszüntetése ügyében hozott döntések elleni fellebbezések elbírálása.</w:t>
      </w:r>
    </w:p>
    <w:p w14:paraId="1A2EA07B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Első személyi tulajdonú lakás építésének, vásárlásának támogatása. </w:t>
      </w:r>
    </w:p>
    <w:p w14:paraId="09CF5CB0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elidegenítési és terhelési tilalommal vagy jelzálogjoggal érintett önkormányzattól megvásárolt lakásra és nem lakás céljára szolgáló helyiségek esetében a hitel felvételéhez hozzájárulás megadása.     </w:t>
      </w:r>
    </w:p>
    <w:p w14:paraId="732382C8" w14:textId="77777777" w:rsidR="00131EB8" w:rsidRDefault="003A2CDE">
      <w:pPr>
        <w:pStyle w:val="Listaszerbekezds"/>
        <w:numPr>
          <w:ilvl w:val="0"/>
          <w:numId w:val="6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Első személyi tulajdonú lakás építésének, vásárlásának támogatása során elidegenítési és terhelési tilalommal vagy jelzáloggal érintett ingatlan esetében a hitel felvételéhez hozzájárulás megadása.    </w:t>
      </w:r>
    </w:p>
    <w:p w14:paraId="345D315C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763B7641" w14:textId="77777777" w:rsidR="00131EB8" w:rsidRDefault="003A2CDE">
      <w:pPr>
        <w:spacing w:after="0" w:line="360" w:lineRule="exact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shd w:val="clear" w:color="auto" w:fill="FFFFFF"/>
        </w:rPr>
        <w:t xml:space="preserve">II. </w:t>
      </w: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OKTATÁSI, TÁRSADALMI BIZOTTSÁG</w:t>
      </w:r>
    </w:p>
    <w:p w14:paraId="623481AA" w14:textId="77777777" w:rsidR="00131EB8" w:rsidRDefault="003A2CDE">
      <w:pPr>
        <w:pStyle w:val="Listaszerbekezds"/>
        <w:numPr>
          <w:ilvl w:val="3"/>
          <w:numId w:val="3"/>
        </w:numPr>
        <w:spacing w:after="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 xml:space="preserve">Véleményezi: </w:t>
      </w:r>
    </w:p>
    <w:p w14:paraId="135F3FE3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 intézmények alapításával, megszüntetésével, átszervezésével, feladatok megváltoztatásával kapcsolatos tervezeteket, </w:t>
      </w:r>
    </w:p>
    <w:p w14:paraId="482294DF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nevelési-oktatási, közművelődési intézmények vezetőinek megbízására vonatkozó előterjesztéseket, </w:t>
      </w:r>
    </w:p>
    <w:p w14:paraId="71B60BB2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fenntartásában működő nevelési-oktatási, közművelődési intézmények tevékenységéről szóló beszámoló tervezeteket, </w:t>
      </w:r>
    </w:p>
    <w:p w14:paraId="6FEB9FF3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város kulturális tevékenységét, a művelődési feladatok végrehajtását, </w:t>
      </w:r>
    </w:p>
    <w:p w14:paraId="3D6429E2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nevelési-oktatási, közművelődési intézményvezetői pályázatokat, </w:t>
      </w:r>
    </w:p>
    <w:p w14:paraId="46A79FA3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nevelési-oktatási, közművelődési intézmény tevékenységéről szóló beszámolókat, </w:t>
      </w:r>
    </w:p>
    <w:p w14:paraId="27A41692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város által adományozható díjakra, kitüntetésekre tett javaslatokat, </w:t>
      </w:r>
    </w:p>
    <w:p w14:paraId="5D029729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kulturális rendezvények megtartására, évforduló megünneplésére vonatkozó javaslatokat, </w:t>
      </w:r>
    </w:p>
    <w:p w14:paraId="476DDB9B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gyermekvédelemről, a felnőtt korúakról való szociális gondoskodásról szóló beszámolókat, </w:t>
      </w:r>
    </w:p>
    <w:p w14:paraId="5C8EAFBC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 Jászapáti Egyesített Szociális Intézmény tevékenységéről szóló jelentést, </w:t>
      </w:r>
    </w:p>
    <w:p w14:paraId="68F8A4BF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munkaerő gazdálkodás területén a hátrányos helyzetű rétegek munkavállalási adatairól, a szocializációs problémák feltárása, megoldása érdekében tett intézkedésekről készült előterjesztéseket, melynek során szorosan együttműködik a Jászapáti Roma Nemzetiségi Önkormányzattal,</w:t>
      </w:r>
    </w:p>
    <w:p w14:paraId="25D53158" w14:textId="77777777" w:rsidR="00131EB8" w:rsidRDefault="003A2CDE">
      <w:pPr>
        <w:pStyle w:val="Listaszerbekezds"/>
        <w:numPr>
          <w:ilvl w:val="1"/>
          <w:numId w:val="7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szociális rendeletek módosítását.</w:t>
      </w:r>
    </w:p>
    <w:p w14:paraId="7ED2BD67" w14:textId="77777777" w:rsidR="00131EB8" w:rsidRDefault="00131EB8">
      <w:pPr>
        <w:spacing w:after="0" w:line="360" w:lineRule="exact"/>
        <w:ind w:left="709"/>
        <w:jc w:val="both"/>
        <w:rPr>
          <w:rFonts w:eastAsia="Times New Roman" w:cs="Times New Roman"/>
          <w:color w:val="auto"/>
          <w:highlight w:val="white"/>
        </w:rPr>
      </w:pPr>
    </w:p>
    <w:p w14:paraId="75B920B6" w14:textId="77777777" w:rsidR="00131EB8" w:rsidRDefault="003A2CDE">
      <w:pPr>
        <w:pStyle w:val="Listaszerbekezds"/>
        <w:numPr>
          <w:ilvl w:val="3"/>
          <w:numId w:val="3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Javaslatot tesz a Képviselő-testületnek:</w:t>
      </w:r>
    </w:p>
    <w:p w14:paraId="5A28CF8A" w14:textId="77777777" w:rsidR="00131EB8" w:rsidRDefault="003A2CDE">
      <w:pPr>
        <w:pStyle w:val="Listaszerbekezds"/>
        <w:numPr>
          <w:ilvl w:val="3"/>
          <w:numId w:val="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Egyházközséggel, karitatív szervezetekkel, alapítványokkal, egyesületekkel, a lakosság művészeti kezdeményezéseinek önszerveződő közösségeivel, a város társadalmi és civil szervezeteivel való kapcsolattartása formáira, </w:t>
      </w:r>
    </w:p>
    <w:p w14:paraId="6AAED0D9" w14:textId="77777777" w:rsidR="00131EB8" w:rsidRDefault="003A2CDE">
      <w:pPr>
        <w:pStyle w:val="Listaszerbekezds"/>
        <w:numPr>
          <w:ilvl w:val="3"/>
          <w:numId w:val="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az önkormányzat testvérvárosi kapcsolataira, </w:t>
      </w:r>
    </w:p>
    <w:p w14:paraId="4F8F0E5D" w14:textId="77777777" w:rsidR="00131EB8" w:rsidRDefault="003A2CDE">
      <w:pPr>
        <w:pStyle w:val="Listaszerbekezds"/>
        <w:numPr>
          <w:ilvl w:val="3"/>
          <w:numId w:val="8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város idegenforgalmi értékeinek bemutatására, az idegenforgalmi és turisztikai jelentőséggel bíró kiadványok szerkezetére, megjelenésére,</w:t>
      </w:r>
    </w:p>
    <w:p w14:paraId="3E26F774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77EFE5AB" w14:textId="77777777" w:rsidR="00131EB8" w:rsidRDefault="003A2CDE">
      <w:pPr>
        <w:pStyle w:val="Listaszerbekezds"/>
        <w:numPr>
          <w:ilvl w:val="3"/>
          <w:numId w:val="3"/>
        </w:numPr>
        <w:spacing w:after="120" w:line="360" w:lineRule="exact"/>
        <w:ind w:left="426" w:hanging="426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Az Oktatási, Társadalmi Bizottságára átruházott hatáskörök:</w:t>
      </w:r>
    </w:p>
    <w:p w14:paraId="494ACABB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b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Dönt az óvoda heti és éves nyitvatartási rendjének meghatározásáról</w:t>
      </w:r>
      <w:r>
        <w:rPr>
          <w:rFonts w:eastAsia="Times New Roman" w:cs="Times New Roman"/>
          <w:b/>
          <w:color w:val="auto"/>
          <w:shd w:val="clear" w:color="auto" w:fill="FFFFFF"/>
        </w:rPr>
        <w:t>.</w:t>
      </w:r>
    </w:p>
    <w:p w14:paraId="55503A47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Határoz az önkormányzat által fenntartott közművelődési, közgyűjteményi és művészeti intézmények elnevezéséről külön jogszabályban meghatározottak szerint.</w:t>
      </w:r>
    </w:p>
    <w:p w14:paraId="01D8A78A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közművelődési intézmény szervezeti és működési szabályzatának, éves munkatervének jóváhagyása.</w:t>
      </w:r>
    </w:p>
    <w:p w14:paraId="6FA00244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Jászapáti Városi Önkormányzat Felsőoktatási Ösztöndíj pályázatának elbírálása.</w:t>
      </w:r>
    </w:p>
    <w:p w14:paraId="6883E031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proofErr w:type="spellStart"/>
      <w:r>
        <w:rPr>
          <w:rFonts w:eastAsia="Times New Roman" w:cs="Times New Roman"/>
          <w:color w:val="auto"/>
          <w:shd w:val="clear" w:color="auto" w:fill="FFFFFF"/>
        </w:rPr>
        <w:t>Bursa</w:t>
      </w:r>
      <w:proofErr w:type="spellEnd"/>
      <w:r>
        <w:rPr>
          <w:rFonts w:eastAsia="Times New Roman" w:cs="Times New Roman"/>
          <w:color w:val="auto"/>
          <w:shd w:val="clear" w:color="auto" w:fill="FFFFFF"/>
        </w:rPr>
        <w:t xml:space="preserve"> Hungarica Szociális Felsőoktatási Ösztöndíj pályázat elbírálása.</w:t>
      </w:r>
    </w:p>
    <w:p w14:paraId="263CA187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 nevelési, oktatási intézmények szervezeti és működési szabályzatának, valamint a nevelési, oktatási intézmények nevelési, illetve pedagógiai programjának, házirendjének és minőségirányítási programjának jóváhagyása.</w:t>
      </w:r>
    </w:p>
    <w:p w14:paraId="7F0D76D4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Szervezi a testvérvárosi kapcsolatokat.</w:t>
      </w:r>
    </w:p>
    <w:p w14:paraId="4294AB76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i/>
          <w:color w:val="auto"/>
        </w:rPr>
      </w:pPr>
      <w:r>
        <w:rPr>
          <w:rFonts w:eastAsia="Times New Roman" w:cs="Times New Roman"/>
          <w:color w:val="auto"/>
          <w:shd w:val="clear" w:color="auto" w:fill="FFFFFF"/>
        </w:rPr>
        <w:t>Együttműködik az egyházzal, társadalmi szervezetekkel, önszerveződő közösségekkel.</w:t>
      </w:r>
      <w:r>
        <w:rPr>
          <w:iCs/>
          <w:color w:val="auto"/>
        </w:rPr>
        <w:t xml:space="preserve"> </w:t>
      </w:r>
    </w:p>
    <w:p w14:paraId="5C829EDD" w14:textId="77777777" w:rsidR="00131EB8" w:rsidRDefault="003A2CDE">
      <w:pPr>
        <w:pStyle w:val="Listaszerbekezds"/>
        <w:numPr>
          <w:ilvl w:val="3"/>
          <w:numId w:val="9"/>
        </w:numPr>
        <w:spacing w:after="0" w:line="360" w:lineRule="exact"/>
        <w:ind w:left="993"/>
        <w:jc w:val="both"/>
        <w:rPr>
          <w:i/>
          <w:color w:val="auto"/>
        </w:rPr>
      </w:pPr>
      <w:r>
        <w:rPr>
          <w:iCs/>
          <w:color w:val="auto"/>
        </w:rPr>
        <w:t>Ellátja a lakásrendelet szerit a hatáskörébe utalt feladatokat.</w:t>
      </w:r>
    </w:p>
    <w:p w14:paraId="1A156BB0" w14:textId="77777777" w:rsidR="00131EB8" w:rsidRDefault="00131EB8">
      <w:pPr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42D10BE4" w14:textId="77777777" w:rsidR="00131EB8" w:rsidRDefault="003A2CDE">
      <w:pPr>
        <w:pStyle w:val="Listaszerbekezds"/>
        <w:numPr>
          <w:ilvl w:val="3"/>
          <w:numId w:val="3"/>
        </w:numPr>
        <w:spacing w:after="0" w:line="360" w:lineRule="exact"/>
        <w:ind w:left="567"/>
        <w:jc w:val="both"/>
        <w:rPr>
          <w:rFonts w:eastAsia="Times New Roman" w:cs="Times New Roman"/>
          <w:b/>
          <w:bCs/>
          <w:color w:val="auto"/>
          <w:highlight w:val="white"/>
          <w:u w:val="single"/>
        </w:rPr>
      </w:pPr>
      <w:r>
        <w:rPr>
          <w:rFonts w:eastAsia="Times New Roman" w:cs="Times New Roman"/>
          <w:b/>
          <w:bCs/>
          <w:color w:val="auto"/>
          <w:u w:val="single"/>
          <w:shd w:val="clear" w:color="auto" w:fill="FFFFFF"/>
        </w:rPr>
        <w:t>Az Oktatási, Társadalmi Bizottság</w:t>
      </w:r>
    </w:p>
    <w:p w14:paraId="68C1F235" w14:textId="77777777" w:rsidR="00131EB8" w:rsidRDefault="003A2CDE">
      <w:pPr>
        <w:pStyle w:val="Listaszerbekezds"/>
        <w:numPr>
          <w:ilvl w:val="0"/>
          <w:numId w:val="1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 xml:space="preserve">Együttműködik a helyi rendőrőrssel, valamint a helyi polgárőr szervezettel a város közbiztonságának biztosítása, valamint javítása érdekében. </w:t>
      </w:r>
    </w:p>
    <w:p w14:paraId="7375C6EC" w14:textId="77777777" w:rsidR="00131EB8" w:rsidRDefault="003A2CDE">
      <w:pPr>
        <w:pStyle w:val="Listaszerbekezds"/>
        <w:numPr>
          <w:ilvl w:val="0"/>
          <w:numId w:val="1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Amennyiben az intézmény vezetője a bölcsődei ellátás igénybevételéről nem intézkedik, illetve a kérelmező a meghozott döntést vitatja, az ellátás igénybevételéről a bizottság dönt.</w:t>
      </w:r>
    </w:p>
    <w:p w14:paraId="085D4C9D" w14:textId="16770763" w:rsidR="00131EB8" w:rsidRDefault="003A2CDE">
      <w:pPr>
        <w:pStyle w:val="Listaszerbekezds"/>
        <w:numPr>
          <w:ilvl w:val="0"/>
          <w:numId w:val="10"/>
        </w:numPr>
        <w:spacing w:after="0" w:line="360" w:lineRule="exact"/>
        <w:ind w:left="993"/>
        <w:jc w:val="both"/>
        <w:rPr>
          <w:rFonts w:eastAsia="Times New Roman" w:cs="Times New Roman"/>
          <w:color w:val="auto"/>
          <w:highlight w:val="white"/>
        </w:rPr>
      </w:pPr>
      <w:r>
        <w:rPr>
          <w:rFonts w:eastAsia="Times New Roman" w:cs="Times New Roman"/>
          <w:color w:val="auto"/>
          <w:shd w:val="clear" w:color="auto" w:fill="FFFFFF"/>
        </w:rPr>
        <w:t>Jóváhagyja a Jászapáti Egyesített Szociális Intézmény szervezeti és működési szabályzatát, szakmai programját.</w:t>
      </w:r>
    </w:p>
    <w:p w14:paraId="7E50E6B1" w14:textId="77777777" w:rsidR="00131EB8" w:rsidRDefault="00131EB8">
      <w:pPr>
        <w:pStyle w:val="Listaszerbekezds"/>
        <w:spacing w:after="0" w:line="360" w:lineRule="exact"/>
        <w:jc w:val="both"/>
        <w:rPr>
          <w:rFonts w:eastAsia="Times New Roman" w:cs="Times New Roman"/>
          <w:color w:val="auto"/>
          <w:highlight w:val="white"/>
        </w:rPr>
      </w:pPr>
    </w:p>
    <w:p w14:paraId="00AF1555" w14:textId="77777777" w:rsidR="00131EB8" w:rsidRDefault="00131EB8">
      <w:pPr>
        <w:spacing w:after="0" w:line="360" w:lineRule="exact"/>
        <w:jc w:val="both"/>
      </w:pPr>
    </w:p>
    <w:sectPr w:rsidR="00131EB8">
      <w:pgSz w:w="12240" w:h="15840"/>
      <w:pgMar w:top="1440" w:right="1800" w:bottom="1440" w:left="1800" w:header="720" w:footer="72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C7B32" w14:textId="77777777" w:rsidR="000D2388" w:rsidRDefault="000D2388" w:rsidP="000D2388">
      <w:pPr>
        <w:spacing w:after="0" w:line="240" w:lineRule="auto"/>
      </w:pPr>
      <w:r>
        <w:separator/>
      </w:r>
    </w:p>
  </w:endnote>
  <w:endnote w:type="continuationSeparator" w:id="0">
    <w:p w14:paraId="019BA0DB" w14:textId="77777777" w:rsidR="000D2388" w:rsidRDefault="000D2388" w:rsidP="000D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A2D79F" w14:textId="77777777" w:rsidR="000D2388" w:rsidRDefault="000D2388" w:rsidP="000D2388">
      <w:pPr>
        <w:spacing w:after="0" w:line="240" w:lineRule="auto"/>
      </w:pPr>
      <w:r>
        <w:separator/>
      </w:r>
    </w:p>
  </w:footnote>
  <w:footnote w:type="continuationSeparator" w:id="0">
    <w:p w14:paraId="78E546B2" w14:textId="77777777" w:rsidR="000D2388" w:rsidRDefault="000D2388" w:rsidP="000D2388">
      <w:pPr>
        <w:spacing w:after="0" w:line="240" w:lineRule="auto"/>
      </w:pPr>
      <w:r>
        <w:continuationSeparator/>
      </w:r>
    </w:p>
  </w:footnote>
  <w:footnote w:id="1">
    <w:p w14:paraId="2C2D7B5D" w14:textId="7D384233" w:rsidR="000D2388" w:rsidRDefault="000D2388" w:rsidP="000D238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rendelet szövegét a 25/2020. (X. 16.) önkormányzati rendelet 2. § (3) bekezdése módosította. Hatályos: 2020. október 17-től.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A19B4"/>
    <w:multiLevelType w:val="multilevel"/>
    <w:tmpl w:val="7AF0DD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2DBA7477"/>
    <w:multiLevelType w:val="multilevel"/>
    <w:tmpl w:val="9E90935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i w:val="0"/>
        <w:i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D81"/>
    <w:multiLevelType w:val="multilevel"/>
    <w:tmpl w:val="4DD2EE6C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64E05F9"/>
    <w:multiLevelType w:val="multilevel"/>
    <w:tmpl w:val="97CE301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E79E7"/>
    <w:multiLevelType w:val="multilevel"/>
    <w:tmpl w:val="D716F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E40CE"/>
    <w:multiLevelType w:val="multilevel"/>
    <w:tmpl w:val="D7A8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E390D"/>
    <w:multiLevelType w:val="multilevel"/>
    <w:tmpl w:val="CC9C29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415E6"/>
    <w:multiLevelType w:val="multilevel"/>
    <w:tmpl w:val="7B54E9A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F1548"/>
    <w:multiLevelType w:val="multilevel"/>
    <w:tmpl w:val="4EEC351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85" w:hanging="4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E71A31"/>
    <w:multiLevelType w:val="multilevel"/>
    <w:tmpl w:val="F0988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A710B"/>
    <w:multiLevelType w:val="multilevel"/>
    <w:tmpl w:val="EF2C34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B8"/>
    <w:rsid w:val="000D2388"/>
    <w:rsid w:val="00131EB8"/>
    <w:rsid w:val="003A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2FB3"/>
  <w15:docId w15:val="{0D3B4BF5-39F7-4E35-B8D5-ACB67C33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  <w:spacing w:after="160" w:line="259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352F83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FootnoteCharacters">
    <w:name w:val="Footnote Characters"/>
    <w:basedOn w:val="Bekezdsalapbettpusa"/>
    <w:uiPriority w:val="99"/>
    <w:semiHidden/>
    <w:unhideWhenUsed/>
    <w:qFormat/>
    <w:rsid w:val="00352F83"/>
    <w:rPr>
      <w:vertAlign w:val="superscript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DB6F9A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i w:val="0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i w:val="0"/>
    </w:rPr>
  </w:style>
  <w:style w:type="character" w:customStyle="1" w:styleId="ListLabel7">
    <w:name w:val="ListLabel 7"/>
    <w:qFormat/>
    <w:rPr>
      <w:i w:val="0"/>
    </w:rPr>
  </w:style>
  <w:style w:type="character" w:customStyle="1" w:styleId="ListLabel8">
    <w:name w:val="ListLabel 8"/>
    <w:qFormat/>
    <w:rPr>
      <w:i w:val="0"/>
    </w:rPr>
  </w:style>
  <w:style w:type="character" w:customStyle="1" w:styleId="ListLabel9">
    <w:name w:val="ListLabel 9"/>
    <w:qFormat/>
    <w:rPr>
      <w:b/>
      <w:i w:val="0"/>
      <w:iCs/>
    </w:rPr>
  </w:style>
  <w:style w:type="character" w:customStyle="1" w:styleId="ListLabel10">
    <w:name w:val="ListLabel 10"/>
    <w:qFormat/>
    <w:rPr>
      <w:i w:val="0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bjegyzetszveg">
    <w:name w:val="footnote text"/>
    <w:basedOn w:val="Norml"/>
    <w:link w:val="LbjegyzetszvegChar"/>
    <w:unhideWhenUsed/>
    <w:rsid w:val="00352F83"/>
    <w:pPr>
      <w:spacing w:after="0" w:line="240" w:lineRule="auto"/>
    </w:pPr>
    <w:rPr>
      <w:sz w:val="20"/>
      <w:szCs w:val="18"/>
    </w:rPr>
  </w:style>
  <w:style w:type="paragraph" w:styleId="Listaszerbekezds">
    <w:name w:val="List Paragraph"/>
    <w:basedOn w:val="Norml"/>
    <w:uiPriority w:val="34"/>
    <w:qFormat/>
    <w:rsid w:val="008D7073"/>
    <w:pPr>
      <w:ind w:left="720"/>
      <w:contextualSpacing/>
    </w:pPr>
    <w:rPr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B6F9A"/>
    <w:pPr>
      <w:spacing w:after="0" w:line="240" w:lineRule="auto"/>
    </w:pPr>
    <w:rPr>
      <w:rFonts w:ascii="Segoe UI" w:hAnsi="Segoe UI"/>
      <w:sz w:val="18"/>
      <w:szCs w:val="16"/>
    </w:rPr>
  </w:style>
  <w:style w:type="character" w:styleId="Lbjegyzet-hivatkozs">
    <w:name w:val="footnote reference"/>
    <w:basedOn w:val="Bekezdsalapbettpusa"/>
    <w:uiPriority w:val="99"/>
    <w:semiHidden/>
    <w:unhideWhenUsed/>
    <w:rsid w:val="000D2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8D55-C3F6-4FB9-9598-E6CF9A75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963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Nóra Dr. Tóth</dc:creator>
  <dc:description/>
  <cp:lastModifiedBy>Balogh Renáta</cp:lastModifiedBy>
  <cp:revision>5</cp:revision>
  <cp:lastPrinted>2020-10-08T14:21:00Z</cp:lastPrinted>
  <dcterms:created xsi:type="dcterms:W3CDTF">2020-10-08T08:39:00Z</dcterms:created>
  <dcterms:modified xsi:type="dcterms:W3CDTF">2020-10-16T07:31:00Z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