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B4F" w:rsidRPr="00B2122A" w:rsidRDefault="00740B4F" w:rsidP="00740B4F">
      <w:pPr>
        <w:spacing w:after="0" w:line="276" w:lineRule="auto"/>
        <w:rPr>
          <w:rFonts w:ascii="Times New Roman" w:hAnsi="Times New Roman"/>
          <w:i/>
          <w:lang w:eastAsia="hu-HU"/>
        </w:rPr>
      </w:pPr>
      <w:r w:rsidRPr="00B2122A">
        <w:rPr>
          <w:rFonts w:ascii="Times New Roman" w:hAnsi="Times New Roman"/>
          <w:i/>
          <w:lang w:eastAsia="hu-HU"/>
        </w:rPr>
        <w:t xml:space="preserve">1. számú melléklet a </w:t>
      </w:r>
      <w:r w:rsidRPr="00B2122A">
        <w:rPr>
          <w:rFonts w:ascii="Times New Roman" w:hAnsi="Times New Roman"/>
          <w:bCs/>
          <w:i/>
        </w:rPr>
        <w:t xml:space="preserve">28/2017. (XII.22.) </w:t>
      </w:r>
      <w:r w:rsidRPr="00B2122A">
        <w:rPr>
          <w:rFonts w:ascii="Times New Roman" w:hAnsi="Times New Roman"/>
          <w:i/>
          <w:lang w:eastAsia="hu-HU"/>
        </w:rPr>
        <w:t>önkormányzati rendelethez</w:t>
      </w:r>
    </w:p>
    <w:p w:rsidR="00740B4F" w:rsidRPr="006E7023" w:rsidRDefault="00740B4F" w:rsidP="00740B4F">
      <w:pPr>
        <w:spacing w:after="0" w:line="276" w:lineRule="auto"/>
        <w:rPr>
          <w:rFonts w:ascii="Times New Roman" w:hAnsi="Times New Roman"/>
          <w:b/>
          <w:lang w:eastAsia="hu-HU"/>
        </w:rPr>
      </w:pPr>
    </w:p>
    <w:p w:rsidR="00740B4F" w:rsidRPr="006E7023" w:rsidRDefault="00740B4F" w:rsidP="00740B4F">
      <w:pPr>
        <w:spacing w:after="0" w:line="276" w:lineRule="auto"/>
        <w:jc w:val="center"/>
        <w:rPr>
          <w:rFonts w:ascii="Times New Roman" w:hAnsi="Times New Roman"/>
          <w:b/>
          <w:lang w:eastAsia="hu-HU"/>
        </w:rPr>
      </w:pPr>
      <w:r w:rsidRPr="006E7023">
        <w:rPr>
          <w:rFonts w:ascii="Times New Roman" w:hAnsi="Times New Roman"/>
          <w:b/>
          <w:lang w:eastAsia="hu-HU"/>
        </w:rPr>
        <w:t>Építményekre vonatkozó általános építészeti követelmények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</w:rPr>
      </w:pP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1. Az épületek telepítése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Az épületek telepítésének javasolt jellemzői: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utcára merőle</w:t>
      </w:r>
      <w:r w:rsidRPr="006E7023">
        <w:rPr>
          <w:rFonts w:ascii="Times New Roman" w:hAnsi="Times New Roman"/>
          <w:bCs/>
          <w:color w:val="000000"/>
        </w:rPr>
        <w:softHyphen/>
        <w:t>ges tetőgerinc kialakítású épület,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 közterülethez a rövidebb homlok</w:t>
      </w:r>
      <w:r w:rsidRPr="006E7023">
        <w:rPr>
          <w:rFonts w:ascii="Times New Roman" w:hAnsi="Times New Roman"/>
          <w:bCs/>
          <w:color w:val="000000"/>
        </w:rPr>
        <w:softHyphen/>
        <w:t>zattal kapcsolódó épülettájolás,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 tel</w:t>
      </w:r>
      <w:r w:rsidRPr="006E7023">
        <w:rPr>
          <w:rFonts w:ascii="Times New Roman" w:hAnsi="Times New Roman"/>
          <w:bCs/>
          <w:color w:val="000000"/>
        </w:rPr>
        <w:softHyphen/>
        <w:t xml:space="preserve">kek belseje felé hosszanti irányban futó épülettömeg 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közvetlenül az utcafrontra, esetleg attól kissé beljebb, kerí</w:t>
      </w:r>
      <w:r w:rsidRPr="006E7023">
        <w:rPr>
          <w:rFonts w:ascii="Times New Roman" w:hAnsi="Times New Roman"/>
          <w:bCs/>
          <w:color w:val="000000"/>
        </w:rPr>
        <w:softHyphen/>
        <w:t>tés és kis előkert mögé épült a lakó</w:t>
      </w:r>
      <w:r w:rsidRPr="006E7023">
        <w:rPr>
          <w:rFonts w:ascii="Times New Roman" w:hAnsi="Times New Roman"/>
          <w:bCs/>
          <w:color w:val="000000"/>
        </w:rPr>
        <w:softHyphen/>
        <w:t>házak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az épület mögött védett kertrész növényzettel, vagy alacsony kerítéssel határolva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Személtető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6"/>
        <w:gridCol w:w="3116"/>
        <w:gridCol w:w="3086"/>
      </w:tblGrid>
      <w:tr w:rsidR="00740B4F" w:rsidRPr="004E5B2C" w:rsidTr="007B5545">
        <w:tc>
          <w:tcPr>
            <w:tcW w:w="3070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0225" cy="2047875"/>
                  <wp:effectExtent l="19050" t="0" r="9525" b="0"/>
                  <wp:docPr id="1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28800" cy="2085975"/>
                  <wp:effectExtent l="19050" t="0" r="0" b="0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0225" cy="1905000"/>
                  <wp:effectExtent l="19050" t="0" r="9525" b="0"/>
                  <wp:docPr id="3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B4F" w:rsidRPr="006E7023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2. Az épületek magassága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Az épületek javasolt magassága: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családi házak esetében a környező házakéval alap</w:t>
      </w:r>
      <w:r w:rsidRPr="006E7023">
        <w:rPr>
          <w:rFonts w:ascii="Times New Roman" w:hAnsi="Times New Roman"/>
          <w:bCs/>
          <w:color w:val="000000"/>
        </w:rPr>
        <w:softHyphen/>
        <w:t xml:space="preserve">vetően azonos magasság, 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jellemzően egyszintes, vagy tetőtér-beépítésű, ritkán kétszintes kialakítású ingatlanok,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kivételek a fenti jellemzők alól:</w:t>
      </w:r>
      <w:r>
        <w:rPr>
          <w:rFonts w:ascii="Times New Roman" w:hAnsi="Times New Roman"/>
          <w:bCs/>
          <w:color w:val="000000"/>
        </w:rPr>
        <w:t xml:space="preserve"> a templom tornya,</w:t>
      </w:r>
      <w:r w:rsidRPr="006E7023">
        <w:rPr>
          <w:rFonts w:ascii="Times New Roman" w:hAnsi="Times New Roman"/>
          <w:bCs/>
          <w:color w:val="000000"/>
        </w:rPr>
        <w:t xml:space="preserve"> az </w:t>
      </w:r>
      <w:r>
        <w:rPr>
          <w:rFonts w:ascii="Times New Roman" w:hAnsi="Times New Roman"/>
          <w:bCs/>
          <w:color w:val="000000"/>
        </w:rPr>
        <w:t>ipari létesítmények, középületek,</w:t>
      </w:r>
      <w:r w:rsidRPr="006E7023">
        <w:rPr>
          <w:rFonts w:ascii="Times New Roman" w:hAnsi="Times New Roman"/>
          <w:bCs/>
          <w:color w:val="000000"/>
        </w:rPr>
        <w:t xml:space="preserve"> az iskolák. 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 jövőben esedékes építkezéseknél is érdemes meg</w:t>
      </w:r>
      <w:r w:rsidRPr="006E7023">
        <w:rPr>
          <w:rFonts w:ascii="Times New Roman" w:hAnsi="Times New Roman"/>
          <w:bCs/>
          <w:color w:val="000000"/>
        </w:rPr>
        <w:softHyphen/>
        <w:t>tartani a visszafogott, lehetőleg egyszintes kialakítást,</w:t>
      </w:r>
    </w:p>
    <w:p w:rsidR="00740B4F" w:rsidRPr="006E7023" w:rsidRDefault="00740B4F" w:rsidP="00740B4F">
      <w:pPr>
        <w:pStyle w:val="Listaszerbekezds"/>
        <w:numPr>
          <w:ilvl w:val="0"/>
          <w:numId w:val="1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az épületmagasságon általában túlnyúlnak a fák, így</w:t>
      </w:r>
      <w:r>
        <w:rPr>
          <w:rFonts w:ascii="Times New Roman" w:hAnsi="Times New Roman"/>
          <w:bCs/>
          <w:color w:val="000000"/>
        </w:rPr>
        <w:t xml:space="preserve"> ezt a jellegzetes, falusias</w:t>
      </w:r>
      <w:r w:rsidRPr="006E7023">
        <w:rPr>
          <w:rFonts w:ascii="Times New Roman" w:hAnsi="Times New Roman"/>
          <w:bCs/>
          <w:color w:val="000000"/>
        </w:rPr>
        <w:t xml:space="preserve"> képet ajánlatos megőrizni.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6"/>
        <w:gridCol w:w="3071"/>
        <w:gridCol w:w="3071"/>
      </w:tblGrid>
      <w:tr w:rsidR="00740B4F" w:rsidRPr="004E5B2C" w:rsidTr="007B5545">
        <w:tc>
          <w:tcPr>
            <w:tcW w:w="3070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9750" cy="1809750"/>
                  <wp:effectExtent l="19050" t="0" r="0" b="0"/>
                  <wp:docPr id="4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609725" cy="1609725"/>
                  <wp:effectExtent l="19050" t="0" r="9525" b="0"/>
                  <wp:docPr id="5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600200" cy="200025"/>
                  <wp:effectExtent l="19050" t="0" r="0" b="0"/>
                  <wp:docPr id="6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B4F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</w:rPr>
      </w:pP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-  2  -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lastRenderedPageBreak/>
        <w:t>3. Az épületek tetőidomának formája, a tető hajlásszöge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3.1. A tetők hajlásszöge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Javasolt tetőhajlásszög:</w:t>
      </w:r>
    </w:p>
    <w:p w:rsidR="00740B4F" w:rsidRPr="006E7023" w:rsidRDefault="00740B4F" w:rsidP="00740B4F">
      <w:pPr>
        <w:pStyle w:val="Listaszerbekezds"/>
        <w:numPr>
          <w:ilvl w:val="0"/>
          <w:numId w:val="2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Cs/>
          <w:color w:val="000000"/>
        </w:rPr>
      </w:pPr>
      <w:r w:rsidRPr="006E7023">
        <w:rPr>
          <w:rFonts w:ascii="Times New Roman" w:hAnsi="Times New Roman"/>
          <w:bCs/>
          <w:color w:val="000000"/>
        </w:rPr>
        <w:t>lakóházak (mind a nye</w:t>
      </w:r>
      <w:r w:rsidRPr="006E7023">
        <w:rPr>
          <w:rFonts w:ascii="Times New Roman" w:hAnsi="Times New Roman"/>
          <w:bCs/>
          <w:color w:val="000000"/>
        </w:rPr>
        <w:softHyphen/>
        <w:t>regtetős parasztházak, mind a sátortetős kockaházak) esetében a tető hajlásszöge a környező házakéval alapvetően azonos,</w:t>
      </w:r>
    </w:p>
    <w:p w:rsidR="00740B4F" w:rsidRPr="006E7023" w:rsidRDefault="00740B4F" w:rsidP="00740B4F">
      <w:pPr>
        <w:pStyle w:val="Listaszerbekezds"/>
        <w:numPr>
          <w:ilvl w:val="0"/>
          <w:numId w:val="2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Cs/>
          <w:color w:val="000000"/>
        </w:rPr>
      </w:pPr>
      <w:r w:rsidRPr="006E7023">
        <w:rPr>
          <w:rFonts w:ascii="Times New Roman" w:hAnsi="Times New Roman"/>
          <w:bCs/>
          <w:color w:val="000000"/>
        </w:rPr>
        <w:t>jellegzetes – így megengedett – forma még az egyik irányban, a nyitott vagy zárt tornác felett való aszimmetrikus elhúzás,</w:t>
      </w:r>
    </w:p>
    <w:p w:rsidR="00740B4F" w:rsidRPr="006E7023" w:rsidRDefault="00740B4F" w:rsidP="00740B4F">
      <w:pPr>
        <w:pStyle w:val="Listaszerbekezds"/>
        <w:numPr>
          <w:ilvl w:val="0"/>
          <w:numId w:val="2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Cs/>
          <w:color w:val="000000"/>
        </w:rPr>
      </w:pPr>
      <w:r w:rsidRPr="006E7023">
        <w:rPr>
          <w:rFonts w:ascii="Times New Roman" w:hAnsi="Times New Roman"/>
          <w:bCs/>
          <w:color w:val="000000"/>
        </w:rPr>
        <w:t>ajánlatos a meglévő, hagyományos épü</w:t>
      </w:r>
      <w:r w:rsidRPr="006E7023">
        <w:rPr>
          <w:rFonts w:ascii="Times New Roman" w:hAnsi="Times New Roman"/>
          <w:bCs/>
          <w:color w:val="000000"/>
        </w:rPr>
        <w:softHyphen/>
        <w:t>letek tetejének hajlásszögéhez igazodni.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7"/>
        <w:gridCol w:w="3194"/>
        <w:gridCol w:w="3047"/>
      </w:tblGrid>
      <w:tr w:rsidR="00740B4F" w:rsidRPr="004E5B2C" w:rsidTr="007B5545">
        <w:tc>
          <w:tcPr>
            <w:tcW w:w="3070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9750" cy="542925"/>
                  <wp:effectExtent l="19050" t="0" r="0" b="0"/>
                  <wp:docPr id="7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95475" cy="571500"/>
                  <wp:effectExtent l="19050" t="0" r="9525" b="0"/>
                  <wp:docPr id="8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0225" cy="542925"/>
                  <wp:effectExtent l="19050" t="0" r="9525" b="0"/>
                  <wp:docPr id="9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B4F" w:rsidRPr="006E7023" w:rsidRDefault="00740B4F" w:rsidP="00740B4F">
      <w:pPr>
        <w:tabs>
          <w:tab w:val="left" w:pos="6430"/>
        </w:tabs>
        <w:spacing w:after="0" w:line="276" w:lineRule="auto"/>
        <w:ind w:left="360"/>
        <w:jc w:val="both"/>
        <w:rPr>
          <w:rFonts w:cs="Titillium Lt"/>
          <w:b/>
          <w:bCs/>
          <w:color w:val="000000"/>
          <w:sz w:val="18"/>
          <w:szCs w:val="18"/>
        </w:rPr>
      </w:pPr>
    </w:p>
    <w:p w:rsidR="00740B4F" w:rsidRPr="006E7023" w:rsidRDefault="00740B4F" w:rsidP="00740B4F">
      <w:pPr>
        <w:spacing w:after="0" w:line="276" w:lineRule="auto"/>
        <w:rPr>
          <w:rFonts w:ascii="Times New Roman" w:hAnsi="Times New Roman"/>
          <w:b/>
          <w:lang w:eastAsia="hu-HU"/>
        </w:rPr>
      </w:pPr>
    </w:p>
    <w:p w:rsidR="00740B4F" w:rsidRPr="006E7023" w:rsidRDefault="00740B4F" w:rsidP="00740B4F">
      <w:pPr>
        <w:spacing w:after="0" w:line="276" w:lineRule="auto"/>
        <w:rPr>
          <w:rFonts w:ascii="Times New Roman" w:hAnsi="Times New Roman"/>
          <w:b/>
          <w:lang w:eastAsia="hu-HU"/>
        </w:rPr>
      </w:pPr>
      <w:r w:rsidRPr="006E7023">
        <w:rPr>
          <w:rFonts w:ascii="Times New Roman" w:hAnsi="Times New Roman"/>
          <w:b/>
          <w:lang w:eastAsia="hu-HU"/>
        </w:rPr>
        <w:t>3.2. A tetőidomok formái</w:t>
      </w:r>
    </w:p>
    <w:p w:rsidR="00740B4F" w:rsidRPr="006E7023" w:rsidRDefault="00740B4F" w:rsidP="00740B4F">
      <w:pPr>
        <w:spacing w:after="0" w:line="276" w:lineRule="auto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Javasolt tetőidomok:</w:t>
      </w:r>
    </w:p>
    <w:p w:rsidR="00740B4F" w:rsidRPr="006E7023" w:rsidRDefault="00740B4F" w:rsidP="00740B4F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/>
          <w:lang w:eastAsia="hu-HU"/>
        </w:rPr>
      </w:pPr>
      <w:r w:rsidRPr="006E7023">
        <w:rPr>
          <w:rFonts w:ascii="Times New Roman" w:hAnsi="Times New Roman"/>
          <w:bCs/>
          <w:color w:val="000000"/>
        </w:rPr>
        <w:t>a háztí</w:t>
      </w:r>
      <w:r w:rsidRPr="006E7023">
        <w:rPr>
          <w:rFonts w:ascii="Times New Roman" w:hAnsi="Times New Roman"/>
          <w:bCs/>
          <w:color w:val="000000"/>
        </w:rPr>
        <w:softHyphen/>
        <w:t xml:space="preserve">pusokat követő tetőkialakítások, </w:t>
      </w:r>
    </w:p>
    <w:p w:rsidR="00740B4F" w:rsidRPr="006E7023" w:rsidRDefault="00740B4F" w:rsidP="00740B4F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/>
          <w:lang w:eastAsia="hu-HU"/>
        </w:rPr>
      </w:pPr>
      <w:r w:rsidRPr="006E7023">
        <w:rPr>
          <w:rFonts w:ascii="Times New Roman" w:hAnsi="Times New Roman"/>
          <w:bCs/>
          <w:color w:val="000000"/>
        </w:rPr>
        <w:t>a környezetében méreteivel kirívó</w:t>
      </w:r>
      <w:r w:rsidRPr="006E7023">
        <w:rPr>
          <w:rFonts w:ascii="Times New Roman" w:hAnsi="Times New Roman"/>
          <w:bCs/>
          <w:color w:val="000000"/>
        </w:rPr>
        <w:softHyphen/>
        <w:t>an túlzónak ható összetettebb, tördelt for</w:t>
      </w:r>
      <w:r w:rsidRPr="006E7023">
        <w:rPr>
          <w:rFonts w:ascii="Times New Roman" w:hAnsi="Times New Roman"/>
          <w:bCs/>
          <w:color w:val="000000"/>
        </w:rPr>
        <w:softHyphen/>
        <w:t>májú tetők építése nem ajánlott,</w:t>
      </w:r>
    </w:p>
    <w:p w:rsidR="00740B4F" w:rsidRPr="006E7023" w:rsidRDefault="00740B4F" w:rsidP="00740B4F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/>
          <w:lang w:eastAsia="hu-HU"/>
        </w:rPr>
      </w:pPr>
      <w:r w:rsidRPr="006E7023">
        <w:rPr>
          <w:rFonts w:ascii="Times New Roman" w:hAnsi="Times New Roman"/>
          <w:bCs/>
          <w:color w:val="000000"/>
        </w:rPr>
        <w:t>ajánlatos nyereg-vagy sátortetős megoldásokat alkalmazni.</w:t>
      </w:r>
    </w:p>
    <w:p w:rsidR="00740B4F" w:rsidRPr="006E7023" w:rsidRDefault="00740B4F" w:rsidP="00740B4F">
      <w:pPr>
        <w:spacing w:after="0" w:line="276" w:lineRule="auto"/>
        <w:rPr>
          <w:rFonts w:ascii="Times New Roman" w:hAnsi="Times New Roman"/>
          <w:b/>
          <w:lang w:eastAsia="hu-HU"/>
        </w:rPr>
      </w:pPr>
      <w:r w:rsidRPr="006E7023">
        <w:rPr>
          <w:rFonts w:ascii="Times New Roman" w:hAnsi="Times New Roman"/>
          <w:b/>
          <w:lang w:eastAsia="hu-HU"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26"/>
        <w:gridCol w:w="3071"/>
        <w:gridCol w:w="3071"/>
      </w:tblGrid>
      <w:tr w:rsidR="00740B4F" w:rsidRPr="004E5B2C" w:rsidTr="007B5545">
        <w:tc>
          <w:tcPr>
            <w:tcW w:w="3070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28800" cy="1619250"/>
                  <wp:effectExtent l="19050" t="0" r="0" b="0"/>
                  <wp:docPr id="10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790700" cy="1781175"/>
                  <wp:effectExtent l="19050" t="0" r="0" b="0"/>
                  <wp:docPr id="11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647825" cy="1276350"/>
                  <wp:effectExtent l="19050" t="0" r="9525" b="0"/>
                  <wp:docPr id="12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B4F" w:rsidRPr="006E7023" w:rsidRDefault="00740B4F" w:rsidP="00740B4F">
      <w:pPr>
        <w:spacing w:after="0" w:line="276" w:lineRule="auto"/>
        <w:rPr>
          <w:rFonts w:ascii="Times New Roman" w:hAnsi="Times New Roman"/>
          <w:b/>
          <w:lang w:eastAsia="hu-HU"/>
        </w:rPr>
      </w:pP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4. Anyag- és színhasználat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Javasolt anyag- és színhasználat:</w:t>
      </w:r>
    </w:p>
    <w:p w:rsidR="00740B4F" w:rsidRPr="006E7023" w:rsidRDefault="00740B4F" w:rsidP="00740B4F">
      <w:pPr>
        <w:pStyle w:val="Listaszerbekezds"/>
        <w:numPr>
          <w:ilvl w:val="0"/>
          <w:numId w:val="4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 település kialakult színvilágához igazodó halványabb – fe</w:t>
      </w:r>
      <w:r w:rsidRPr="006E7023">
        <w:rPr>
          <w:rFonts w:ascii="Times New Roman" w:hAnsi="Times New Roman"/>
          <w:bCs/>
          <w:color w:val="000000"/>
        </w:rPr>
        <w:softHyphen/>
        <w:t>hér, sárga, terrakotta – pasztellszínek hasz</w:t>
      </w:r>
      <w:r w:rsidRPr="006E7023">
        <w:rPr>
          <w:rFonts w:ascii="Times New Roman" w:hAnsi="Times New Roman"/>
          <w:bCs/>
          <w:color w:val="000000"/>
        </w:rPr>
        <w:softHyphen/>
        <w:t>nálata ajánlott</w:t>
      </w:r>
    </w:p>
    <w:p w:rsidR="00740B4F" w:rsidRPr="006E7023" w:rsidRDefault="00740B4F" w:rsidP="00740B4F">
      <w:pPr>
        <w:pStyle w:val="Listaszerbekezds"/>
        <w:numPr>
          <w:ilvl w:val="0"/>
          <w:numId w:val="4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az élénkebb színek, illetve a sárga erősebb árnyalatai kerü</w:t>
      </w:r>
      <w:r w:rsidRPr="006E7023">
        <w:rPr>
          <w:rFonts w:ascii="Times New Roman" w:hAnsi="Times New Roman"/>
          <w:bCs/>
          <w:color w:val="000000"/>
        </w:rPr>
        <w:softHyphen/>
        <w:t xml:space="preserve">lendők. </w:t>
      </w:r>
    </w:p>
    <w:p w:rsidR="00740B4F" w:rsidRPr="00913B71" w:rsidRDefault="00740B4F" w:rsidP="00740B4F">
      <w:pPr>
        <w:pStyle w:val="Listaszerbekezds"/>
        <w:numPr>
          <w:ilvl w:val="0"/>
          <w:numId w:val="4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ajánlott a településre jellemző homlokzatképzési megoldás, a fal rakásának módjával díszí</w:t>
      </w:r>
      <w:r w:rsidRPr="006E7023">
        <w:rPr>
          <w:rFonts w:ascii="Times New Roman" w:hAnsi="Times New Roman"/>
          <w:bCs/>
          <w:color w:val="000000"/>
        </w:rPr>
        <w:softHyphen/>
        <w:t>tett, látszó tégla alkalmazása, ezt érde</w:t>
      </w:r>
      <w:r w:rsidRPr="006E7023">
        <w:rPr>
          <w:rFonts w:ascii="Times New Roman" w:hAnsi="Times New Roman"/>
          <w:bCs/>
          <w:color w:val="000000"/>
        </w:rPr>
        <w:softHyphen/>
        <w:t>mes lehet új épületeken is megjeleníteni</w:t>
      </w:r>
    </w:p>
    <w:p w:rsidR="00740B4F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740B4F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740B4F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740B4F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740B4F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740B4F" w:rsidRPr="00913B71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913B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                -   3   </w:t>
      </w:r>
      <w:r w:rsidRPr="00913B71">
        <w:rPr>
          <w:rFonts w:ascii="Times New Roman" w:hAnsi="Times New Roman"/>
        </w:rPr>
        <w:t>-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A színhasználatot 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3"/>
        <w:gridCol w:w="3174"/>
        <w:gridCol w:w="2911"/>
      </w:tblGrid>
      <w:tr w:rsidR="00740B4F" w:rsidRPr="004E5B2C" w:rsidTr="007B5545">
        <w:tc>
          <w:tcPr>
            <w:tcW w:w="3070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lastRenderedPageBreak/>
              <w:drawing>
                <wp:inline distT="0" distB="0" distL="0" distR="0">
                  <wp:extent cx="1924050" cy="1285875"/>
                  <wp:effectExtent l="19050" t="0" r="0" b="0"/>
                  <wp:docPr id="13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905000" cy="1314450"/>
                  <wp:effectExtent l="19050" t="0" r="0" b="0"/>
                  <wp:docPr id="14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733550" cy="1219200"/>
                  <wp:effectExtent l="19050" t="0" r="0" b="0"/>
                  <wp:docPr id="15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B4F" w:rsidRPr="006E7023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5. Utcai kerítések és ezek nyílásainak megoldásai, természetes térelhatárolások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Térelhatárolások, kerítések, kapuk javasolt megoldásai:</w:t>
      </w:r>
    </w:p>
    <w:p w:rsidR="00740B4F" w:rsidRPr="006E7023" w:rsidRDefault="00740B4F" w:rsidP="00740B4F">
      <w:pPr>
        <w:pStyle w:val="Listaszerbekezds"/>
        <w:numPr>
          <w:ilvl w:val="0"/>
          <w:numId w:val="5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javasolt térelválasztó a zöld bokor- vagy fasor, vagy az utcafronti hom</w:t>
      </w:r>
      <w:r w:rsidRPr="006E7023">
        <w:rPr>
          <w:rFonts w:ascii="Times New Roman" w:hAnsi="Times New Roman"/>
          <w:bCs/>
          <w:color w:val="000000"/>
        </w:rPr>
        <w:softHyphen/>
        <w:t>lokzat előtt futó, vagy a homlokzat oldalán elhelyezkedő kerítést,</w:t>
      </w:r>
    </w:p>
    <w:p w:rsidR="00740B4F" w:rsidRPr="006E7023" w:rsidRDefault="00740B4F" w:rsidP="00740B4F">
      <w:pPr>
        <w:pStyle w:val="Listaszerbekezds"/>
        <w:numPr>
          <w:ilvl w:val="0"/>
          <w:numId w:val="5"/>
        </w:num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6E7023">
        <w:rPr>
          <w:rFonts w:ascii="Times New Roman" w:hAnsi="Times New Roman"/>
          <w:bCs/>
          <w:color w:val="000000"/>
        </w:rPr>
        <w:t>az újonnan épült házak esetében is ajánlott a zöldnövényzet természetes térelhatároló szerepének kihasználása mellett az áttört, alacsonyabb kerítéstípu</w:t>
      </w:r>
      <w:r w:rsidRPr="006E7023">
        <w:rPr>
          <w:rFonts w:ascii="Times New Roman" w:hAnsi="Times New Roman"/>
          <w:bCs/>
          <w:color w:val="000000"/>
        </w:rPr>
        <w:softHyphen/>
        <w:t>sokat alkalmazni a tömör falazású, illetve az egyszerű, de nem megfelelően zárt drótfonatos kerítéssel szemben</w:t>
      </w:r>
    </w:p>
    <w:p w:rsidR="00740B4F" w:rsidRPr="006E7023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740B4F" w:rsidRPr="004E5B2C" w:rsidTr="007B5545">
        <w:tc>
          <w:tcPr>
            <w:tcW w:w="4606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743200" cy="809625"/>
                  <wp:effectExtent l="19050" t="0" r="0" b="0"/>
                  <wp:docPr id="16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743200" cy="790575"/>
                  <wp:effectExtent l="19050" t="0" r="0" b="0"/>
                  <wp:docPr id="17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B4F" w:rsidRPr="004E5B2C" w:rsidTr="007B5545">
        <w:tc>
          <w:tcPr>
            <w:tcW w:w="4606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695575" cy="800100"/>
                  <wp:effectExtent l="19050" t="0" r="9525" b="0"/>
                  <wp:docPr id="18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40B4F" w:rsidRPr="004E5B2C" w:rsidRDefault="00740B4F" w:rsidP="007B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695575" cy="790575"/>
                  <wp:effectExtent l="19050" t="0" r="9525" b="0"/>
                  <wp:docPr id="19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B4F" w:rsidRPr="006E7023" w:rsidRDefault="00740B4F" w:rsidP="00740B4F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D90D45" w:rsidRDefault="00D90D45" w:rsidP="00740B4F"/>
    <w:sectPr w:rsidR="00D90D45" w:rsidSect="00D90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tillium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66F27"/>
    <w:multiLevelType w:val="hybridMultilevel"/>
    <w:tmpl w:val="D6B470FC"/>
    <w:lvl w:ilvl="0" w:tplc="3F307E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color w:val="000000"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64400"/>
    <w:multiLevelType w:val="hybridMultilevel"/>
    <w:tmpl w:val="F604A36C"/>
    <w:lvl w:ilvl="0" w:tplc="3F307E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color w:val="000000"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F061D"/>
    <w:multiLevelType w:val="hybridMultilevel"/>
    <w:tmpl w:val="8F4CCB82"/>
    <w:lvl w:ilvl="0" w:tplc="3F307E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color w:val="000000"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F20F9"/>
    <w:multiLevelType w:val="hybridMultilevel"/>
    <w:tmpl w:val="206664AE"/>
    <w:lvl w:ilvl="0" w:tplc="3F307E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color w:val="000000"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3F31A3"/>
    <w:multiLevelType w:val="hybridMultilevel"/>
    <w:tmpl w:val="05C4910C"/>
    <w:lvl w:ilvl="0" w:tplc="3F307E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color w:val="000000"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0B4F"/>
    <w:rsid w:val="00740B4F"/>
    <w:rsid w:val="00D90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0B4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740B4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4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0B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393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</dc:creator>
  <cp:lastModifiedBy>Marianna</cp:lastModifiedBy>
  <cp:revision>1</cp:revision>
  <dcterms:created xsi:type="dcterms:W3CDTF">2018-01-09T08:18:00Z</dcterms:created>
  <dcterms:modified xsi:type="dcterms:W3CDTF">2018-01-09T08:24:00Z</dcterms:modified>
</cp:coreProperties>
</file>