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6B" w:rsidRPr="00E97E44" w:rsidRDefault="0005476B" w:rsidP="0005476B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05476B" w:rsidRPr="00E2320B" w:rsidRDefault="0005476B" w:rsidP="0005476B">
      <w:pPr>
        <w:pStyle w:val="Cmsor1"/>
        <w:rPr>
          <w:szCs w:val="24"/>
        </w:rPr>
      </w:pPr>
    </w:p>
    <w:bookmarkEnd w:id="0"/>
    <w:p w:rsidR="0005476B" w:rsidRDefault="0005476B" w:rsidP="0005476B">
      <w:pPr>
        <w:pStyle w:val="Listaszerbekezds"/>
        <w:rPr>
          <w:b/>
          <w:szCs w:val="24"/>
        </w:rPr>
      </w:pPr>
    </w:p>
    <w:p w:rsidR="0005476B" w:rsidRPr="00836999" w:rsidRDefault="0005476B" w:rsidP="0005476B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05476B" w:rsidRPr="00836999" w:rsidRDefault="0005476B" w:rsidP="0005476B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BIZOTTSÁGAINAK FELADAT- ÉS HATÁSKÖREI</w:t>
      </w:r>
    </w:p>
    <w:p w:rsidR="0005476B" w:rsidRPr="00836999" w:rsidRDefault="0005476B" w:rsidP="0005476B">
      <w:pPr>
        <w:pStyle w:val="Listaszerbekezds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1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05476B" w:rsidRPr="00836999" w:rsidRDefault="0005476B" w:rsidP="0005476B">
      <w:pPr>
        <w:pStyle w:val="Listaszerbekezds"/>
        <w:ind w:left="426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05476B" w:rsidRPr="00836999" w:rsidRDefault="0005476B" w:rsidP="0005476B">
      <w:pPr>
        <w:pStyle w:val="Listaszerbekezds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05476B" w:rsidRPr="00836999" w:rsidRDefault="0005476B" w:rsidP="0005476B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05476B" w:rsidRPr="00836999" w:rsidRDefault="0005476B" w:rsidP="0005476B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05476B" w:rsidRPr="00836999" w:rsidRDefault="0005476B" w:rsidP="0005476B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05476B" w:rsidRPr="00836999" w:rsidRDefault="0005476B" w:rsidP="0005476B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05476B" w:rsidRPr="00836999" w:rsidRDefault="0005476B" w:rsidP="0005476B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05476B" w:rsidRPr="00836999" w:rsidRDefault="0005476B" w:rsidP="0005476B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05476B" w:rsidRPr="00836999" w:rsidRDefault="0005476B" w:rsidP="0005476B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05476B" w:rsidRPr="0005476B" w:rsidRDefault="0005476B" w:rsidP="0005476B">
      <w:pPr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1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 feladatkörei: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 xml:space="preserve">II/1. </w:t>
      </w:r>
      <w:r w:rsidRPr="000D1179">
        <w:rPr>
          <w:b/>
          <w:bCs/>
        </w:rPr>
        <w:t>Gazdasági, Pénzügyi, Városfejlesztési és Turisztikai Bizottság</w:t>
      </w:r>
      <w:r w:rsidRPr="00836999">
        <w:rPr>
          <w:b/>
          <w:szCs w:val="24"/>
        </w:rPr>
        <w:t xml:space="preserve"> feladatai:</w:t>
      </w:r>
    </w:p>
    <w:p w:rsidR="0005476B" w:rsidRPr="00836999" w:rsidRDefault="0005476B" w:rsidP="0005476B">
      <w:pPr>
        <w:pStyle w:val="Listaszerbekezds"/>
        <w:ind w:left="709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az önkormányzatnál és az önkormányzati intézményeknél: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vizsgálja az adósságot keletkeztető kötelezettségvállalás (pl. hitelfelvétel, kötvény, váltó kibocsátás, pénzügyi </w:t>
      </w:r>
      <w:proofErr w:type="gramStart"/>
      <w:r w:rsidRPr="00836999">
        <w:rPr>
          <w:szCs w:val="24"/>
        </w:rPr>
        <w:t>lízing,</w:t>
      </w:r>
      <w:proofErr w:type="gramEnd"/>
      <w:r w:rsidRPr="00836999">
        <w:rPr>
          <w:szCs w:val="24"/>
        </w:rPr>
        <w:t xml:space="preserve"> stb.) indokait és gazdasági megalapozottságát;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hegyközségi s</w:t>
      </w:r>
      <w:r>
        <w:rPr>
          <w:szCs w:val="24"/>
        </w:rPr>
        <w:t>zervekkel való együttműködésről.</w:t>
      </w:r>
    </w:p>
    <w:p w:rsidR="0005476B" w:rsidRPr="00836999" w:rsidRDefault="0005476B" w:rsidP="0005476B">
      <w:pPr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05476B" w:rsidRPr="00836999" w:rsidRDefault="0005476B" w:rsidP="0005476B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05476B" w:rsidRPr="00836999" w:rsidRDefault="0005476B" w:rsidP="0005476B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05476B" w:rsidRPr="00836999" w:rsidRDefault="0005476B" w:rsidP="0005476B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05476B" w:rsidRPr="00836999" w:rsidRDefault="0005476B" w:rsidP="0005476B">
      <w:pPr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05476B" w:rsidRPr="00836999" w:rsidRDefault="0005476B" w:rsidP="0005476B">
      <w:pPr>
        <w:pStyle w:val="Listaszerbekezds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az intézmények költségvetésében szereplő pénzösszeg elosztását, felhasználását, a finanszírozás rendjét;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intézmények bevételi tervének teljesítését, a szolgáltatások </w:t>
      </w:r>
      <w:proofErr w:type="spellStart"/>
      <w:r w:rsidRPr="00836999">
        <w:rPr>
          <w:szCs w:val="24"/>
        </w:rPr>
        <w:t>árképzésének</w:t>
      </w:r>
      <w:proofErr w:type="spellEnd"/>
      <w:r w:rsidRPr="00836999">
        <w:rPr>
          <w:szCs w:val="24"/>
        </w:rPr>
        <w:t xml:space="preserve"> helyességét;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05476B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"/>
      </w: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5476B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05476B" w:rsidRPr="006846BB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javaslatot tesz:</w:t>
      </w:r>
    </w:p>
    <w:p w:rsidR="0005476B" w:rsidRPr="00836999" w:rsidRDefault="0005476B" w:rsidP="0005476B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05476B" w:rsidRPr="00836999" w:rsidRDefault="0005476B" w:rsidP="0005476B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05476B" w:rsidRPr="00836999" w:rsidRDefault="0005476B" w:rsidP="0005476B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05476B" w:rsidRPr="00836999" w:rsidRDefault="0005476B" w:rsidP="0005476B">
      <w:pPr>
        <w:pStyle w:val="Listaszerbekezds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5476B" w:rsidRPr="00DE1881" w:rsidRDefault="0005476B" w:rsidP="0005476B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II/3. </w:t>
      </w:r>
      <w:r>
        <w:rPr>
          <w:rStyle w:val="Lbjegyzet-hivatkozs"/>
          <w:b/>
          <w:szCs w:val="24"/>
        </w:rPr>
        <w:footnoteReference w:id="2"/>
      </w:r>
    </w:p>
    <w:p w:rsidR="0005476B" w:rsidRDefault="0005476B" w:rsidP="0005476B">
      <w:pPr>
        <w:pStyle w:val="Listaszerbekezds"/>
        <w:ind w:left="0"/>
        <w:jc w:val="both"/>
        <w:rPr>
          <w:b/>
          <w:szCs w:val="24"/>
        </w:rPr>
      </w:pPr>
    </w:p>
    <w:p w:rsidR="0005476B" w:rsidRPr="00E2454E" w:rsidRDefault="0005476B" w:rsidP="0005476B">
      <w:pPr>
        <w:pStyle w:val="Listaszerbekezds"/>
        <w:ind w:left="0"/>
        <w:jc w:val="both"/>
        <w:rPr>
          <w:b/>
        </w:rPr>
      </w:pPr>
      <w:r w:rsidRPr="00E2454E">
        <w:rPr>
          <w:b/>
        </w:rPr>
        <w:t>II/4.</w:t>
      </w:r>
      <w:r>
        <w:rPr>
          <w:rStyle w:val="Lbjegyzet-hivatkozs"/>
          <w:b/>
        </w:rPr>
        <w:footnoteReference w:id="3"/>
      </w:r>
      <w:r w:rsidRPr="00E2454E">
        <w:rPr>
          <w:b/>
        </w:rPr>
        <w:t xml:space="preserve"> Kulturális, Ifjúsági, Civil</w:t>
      </w:r>
      <w:r>
        <w:rPr>
          <w:b/>
        </w:rPr>
        <w:t>, Sport, Oktatási</w:t>
      </w:r>
      <w:r w:rsidRPr="00E2454E">
        <w:rPr>
          <w:b/>
        </w:rPr>
        <w:t xml:space="preserve"> és Nemzetközi Kapcsolatok Bizottságának feladatai:</w:t>
      </w:r>
    </w:p>
    <w:p w:rsidR="0005476B" w:rsidRPr="00E2454E" w:rsidRDefault="0005476B" w:rsidP="0005476B">
      <w:pPr>
        <w:pStyle w:val="Listaszerbekezds"/>
        <w:ind w:left="0"/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jc w:val="both"/>
        <w:rPr>
          <w:b/>
        </w:rPr>
      </w:pPr>
      <w:r w:rsidRPr="00E2454E">
        <w:t>A bizottság előzetesen állást foglal a Képviselőtestület hatáskörébe tartozó ügyek közül: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múzeumi anyag elhelyezéséről;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közterületi műalkotások előzetes terveiről, vázlatairól;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helyi médiával kapcsolatos ügyekről, önkormányzati lap indításáról, megszüntetéséről, átszervezéséről;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javaslatot tesz a város internetes honlapjának frissítésével, tartalmi és formai megjelenésével kapcsolatban;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jc w:val="both"/>
        <w:rPr>
          <w:b/>
        </w:rPr>
      </w:pPr>
      <w:r w:rsidRPr="00E2454E">
        <w:t xml:space="preserve">a </w:t>
      </w:r>
      <w:r>
        <w:t>közművelődési feladatellátó éves munkatervéről</w:t>
      </w:r>
      <w:r w:rsidRPr="00E2454E">
        <w:t>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sportlétesítményekről, sportintézmények alapításáról, átszervezéséről vagy megszüntetéséről;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lastRenderedPageBreak/>
        <w:t>a sporttevékenység támogatási rendszeréről, a helyi testnevelési és sportfeladatok meghatározásáról, illetve fejlesztések célkitűzéseiről;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jc w:val="both"/>
        <w:rPr>
          <w:b/>
        </w:rPr>
      </w:pPr>
      <w:r w:rsidRPr="00E2454E">
        <w:t>az éves önkormányzati sport, tömegsport rendezvényekről;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önkormányzati kitüntetések, díjak odaítélése előtt;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külföldi önkormányzattal való együttműködés kialakításáról;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nemzetközi szervezethez való csatlakozás kérdésében;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városi sportlétesítmények fenntartásáról, működtetéséről.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létesítéséről, átszervezéséről, megszüntetéséről, gazdasági jogkörének meghatározásáról;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vezetőinek kinevezéséről, bérezéséről, jutalmazásáról, minősítéséről;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költségvetéséről;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finanszírozását érintő, illetve vagyonjogi kérdésekről;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önkormányzati nevelési, közművelődési intézmények elnevezéséről, névváltoztatásáról.</w:t>
      </w:r>
    </w:p>
    <w:p w:rsidR="0005476B" w:rsidRPr="00E2454E" w:rsidRDefault="0005476B" w:rsidP="0005476B">
      <w:pPr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jc w:val="both"/>
      </w:pPr>
      <w:r w:rsidRPr="00E2454E">
        <w:t>A bizottság ellenőrzi: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jc w:val="both"/>
        <w:rPr>
          <w:b/>
        </w:rPr>
      </w:pPr>
      <w:r w:rsidRPr="00E2454E">
        <w:t>a sportlétesítményeket biztonságtechnikai szempontból, együttműködve a rendőrséggel, a tűzoltósággal, a mentőszolgálattal.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köznevelési intézmények nevelési és pedagógiai programjában meghatározott feladatok végrehajtását, értékeli a pedagógiai munka eredményességét (külső szakértők bevonásával);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közművelődéssel, közgyűjteményekkel, és művészeti tevékenységgel kapcsolatos feladatok ellátását, a finanszírozás mértékét és ennek felhasználását;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vállalkozásba kiadott közművelődési intézményekkel kötött szerződésben foglaltak megvalósulását.</w:t>
      </w:r>
    </w:p>
    <w:p w:rsidR="0005476B" w:rsidRPr="00E2454E" w:rsidRDefault="0005476B" w:rsidP="0005476B">
      <w:pPr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jc w:val="both"/>
      </w:pPr>
      <w:r w:rsidRPr="00E2454E">
        <w:t>A bizottság javaslatot tesz: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jc w:val="both"/>
      </w:pPr>
      <w:r w:rsidRPr="00E2454E">
        <w:t>a területét érintő önkormányzati pályázatok benyújtására;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jc w:val="both"/>
      </w:pPr>
      <w:r w:rsidRPr="00E2454E">
        <w:t>az ágazatát érintő költségvetési előirányzatokra, átcsoportosításokra;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utcanevek megváltoztatására, emléktáblák elhelyezésére, közterületek elnevezésére;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emlékművek, köztéri szobrok elhelyezésére, karbantartására, áthelyezésére;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 kulturális rendezvények megtartására, évfordulók megünneplésére;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intézmények, valamint a polgármesteri hivatal informatikai feladatainak ellátásához szükséges eszközök fejlesztésére;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önkormányzat tulajdonában álló sportlétesítmények fejlesztésére;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jc w:val="both"/>
      </w:pPr>
      <w:r w:rsidRPr="00E2454E">
        <w:t>a szabadidősport feltételeinek fejlesztésére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 területét érintő önkormányzati pályázatok benyújtására;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ágazatát érintő költségvetési előirányzatokra, átcsoportosításokra;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lastRenderedPageBreak/>
        <w:t>az adott nevelési évben indítható óvodai csoportok számának meghatározására, a maximális csoportlétszámtól való eltérés engedélyezésére;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óvodák működési (felvételi) körzetének meghatározására, majd közzétételére;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óvodákba történő jelentkezés módjára, az óvoda nyitvatartási rendjére.</w:t>
      </w:r>
    </w:p>
    <w:p w:rsidR="0005476B" w:rsidRPr="00E2454E" w:rsidRDefault="0005476B" w:rsidP="0005476B">
      <w:pPr>
        <w:pStyle w:val="Listaszerbekezds"/>
        <w:ind w:left="1080"/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A bizottság véleményezi:</w:t>
      </w:r>
    </w:p>
    <w:p w:rsidR="0005476B" w:rsidRPr="00E2454E" w:rsidRDefault="0005476B" w:rsidP="0005476B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 helyi civil szervezetekkel történő együttműködési megállapodásokat;</w:t>
      </w:r>
    </w:p>
    <w:p w:rsidR="0005476B" w:rsidRPr="00E2454E" w:rsidRDefault="0005476B" w:rsidP="0005476B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 város éves kulturális rendezvénytervét;</w:t>
      </w:r>
    </w:p>
    <w:p w:rsidR="0005476B" w:rsidRPr="00E2454E" w:rsidRDefault="0005476B" w:rsidP="0005476B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az intézmények kollektív szerződéseinek megkötését; a módosítást megelőzően előzetesen állást foglalt.</w:t>
      </w:r>
    </w:p>
    <w:p w:rsidR="0005476B" w:rsidRPr="00E2454E" w:rsidRDefault="0005476B" w:rsidP="0005476B">
      <w:pPr>
        <w:contextualSpacing/>
        <w:jc w:val="both"/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A bizottság kapcsolatot tart fenn:</w:t>
      </w:r>
    </w:p>
    <w:p w:rsidR="0005476B" w:rsidRPr="00E2454E" w:rsidRDefault="0005476B" w:rsidP="0005476B">
      <w:pPr>
        <w:pStyle w:val="Listaszerbekezds"/>
        <w:numPr>
          <w:ilvl w:val="0"/>
          <w:numId w:val="19"/>
        </w:numPr>
        <w:spacing w:line="276" w:lineRule="auto"/>
        <w:ind w:left="993"/>
        <w:contextualSpacing/>
        <w:jc w:val="both"/>
      </w:pPr>
      <w:r w:rsidRPr="00E2454E">
        <w:t>megyei ifjúsági szervekkel;</w:t>
      </w:r>
    </w:p>
    <w:p w:rsidR="0005476B" w:rsidRPr="00E2454E" w:rsidRDefault="0005476B" w:rsidP="0005476B">
      <w:pPr>
        <w:pStyle w:val="Listaszerbekezds"/>
        <w:numPr>
          <w:ilvl w:val="0"/>
          <w:numId w:val="19"/>
        </w:numPr>
        <w:spacing w:line="276" w:lineRule="auto"/>
        <w:ind w:left="993"/>
        <w:contextualSpacing/>
        <w:jc w:val="both"/>
      </w:pPr>
      <w:r w:rsidRPr="00E2454E">
        <w:t>érdekvédelmi szervezetekkel.</w:t>
      </w:r>
    </w:p>
    <w:p w:rsidR="0005476B" w:rsidRPr="00E2454E" w:rsidRDefault="0005476B" w:rsidP="0005476B">
      <w:pPr>
        <w:contextualSpacing/>
        <w:jc w:val="both"/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Kapcsolattartás:</w:t>
      </w:r>
    </w:p>
    <w:p w:rsidR="0005476B" w:rsidRPr="00E2454E" w:rsidRDefault="0005476B" w:rsidP="0005476B">
      <w:pPr>
        <w:pStyle w:val="Listaszerbekezds"/>
        <w:jc w:val="both"/>
      </w:pPr>
      <w:r w:rsidRPr="00E2454E">
        <w:t xml:space="preserve">A bizottság kialakíthat eseti és rendszeres kapcsolatot </w:t>
      </w:r>
    </w:p>
    <w:p w:rsidR="0005476B" w:rsidRPr="00E2454E" w:rsidRDefault="0005476B" w:rsidP="0005476B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 xml:space="preserve">más képviselő-testületekkel, közös rendezvényeket szervezhetnek feladatkörükben egymással, </w:t>
      </w:r>
    </w:p>
    <w:p w:rsidR="0005476B" w:rsidRPr="00E2454E" w:rsidRDefault="0005476B" w:rsidP="0005476B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05476B" w:rsidRDefault="0005476B" w:rsidP="0005476B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>a lakosság önszerveződő közösségeivel, a társulási- és érdekképviseleti szervekkel való hatékonyabb és szélesebb körű együttműködés érdekében.</w:t>
      </w: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4"/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településtisztasági szabályozási kérdéseiben.</w:t>
      </w:r>
    </w:p>
    <w:p w:rsidR="0005476B" w:rsidRPr="00836999" w:rsidRDefault="0005476B" w:rsidP="0005476B">
      <w:pPr>
        <w:ind w:left="36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5"/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05476B" w:rsidRPr="00836999" w:rsidRDefault="0005476B" w:rsidP="0005476B">
      <w:pPr>
        <w:pStyle w:val="Listaszerbekezds"/>
        <w:numPr>
          <w:ilvl w:val="0"/>
          <w:numId w:val="29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5476B" w:rsidRPr="00836999" w:rsidRDefault="0005476B" w:rsidP="0005476B">
      <w:pPr>
        <w:pStyle w:val="Listaszerbekezds"/>
        <w:numPr>
          <w:ilvl w:val="0"/>
          <w:numId w:val="29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5476B" w:rsidRPr="00836999" w:rsidRDefault="0005476B" w:rsidP="0005476B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indokolási kötelezettség terhe mellett javaslatot tesz nem szociális jellegű lakáshoz </w:t>
      </w:r>
      <w:proofErr w:type="gramStart"/>
      <w:r w:rsidRPr="00836999">
        <w:rPr>
          <w:szCs w:val="24"/>
        </w:rPr>
        <w:t>jutásra</w:t>
      </w:r>
      <w:proofErr w:type="gramEnd"/>
      <w:r w:rsidRPr="00836999">
        <w:rPr>
          <w:szCs w:val="24"/>
        </w:rPr>
        <w:t xml:space="preserve"> illetve önkormányzati lakás nem lakás céljára t</w:t>
      </w:r>
      <w:r>
        <w:rPr>
          <w:szCs w:val="24"/>
        </w:rPr>
        <w:t>örténő bérbeadására vonatkozóan.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5476B" w:rsidRDefault="0005476B" w:rsidP="0005476B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6"/>
      </w:r>
    </w:p>
    <w:p w:rsidR="0005476B" w:rsidRPr="000308AF" w:rsidRDefault="0005476B" w:rsidP="0005476B">
      <w:pPr>
        <w:pStyle w:val="Listaszerbekezds"/>
        <w:spacing w:line="276" w:lineRule="auto"/>
        <w:ind w:left="1080"/>
        <w:contextualSpacing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36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05476B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Pr="00CA0F27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1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III/1. </w:t>
      </w:r>
      <w:r w:rsidRPr="000D1179">
        <w:rPr>
          <w:b/>
          <w:bCs/>
        </w:rPr>
        <w:t>Gazdasági, Pénzügyi, Városfejlesztési és Turisztikai Bizottságra</w:t>
      </w:r>
      <w:r>
        <w:rPr>
          <w:rStyle w:val="Lbjegyzet-hivatkozs"/>
          <w:b/>
          <w:bCs/>
        </w:rPr>
        <w:footnoteReference w:id="7"/>
      </w:r>
      <w:r w:rsidRPr="00836999">
        <w:rPr>
          <w:b/>
          <w:szCs w:val="24"/>
        </w:rPr>
        <w:t xml:space="preserve"> átruházott hatáskörök: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5476B" w:rsidRPr="00836999" w:rsidRDefault="0005476B" w:rsidP="0005476B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05476B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8"/>
      </w:r>
    </w:p>
    <w:p w:rsidR="0005476B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05476B" w:rsidRPr="00836999" w:rsidRDefault="0005476B" w:rsidP="0005476B">
      <w:pPr>
        <w:pStyle w:val="Listaszerbekezds"/>
        <w:ind w:left="284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5476B" w:rsidRDefault="0005476B" w:rsidP="0005476B">
      <w:pPr>
        <w:numPr>
          <w:ilvl w:val="0"/>
          <w:numId w:val="32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lastRenderedPageBreak/>
        <w:t>dönt a hirdetmény nélküli tárgyalásos közbeszerzési eljárás esetében az ajánlattételre felkért szervezetek megnevezéséről.</w:t>
      </w:r>
    </w:p>
    <w:p w:rsidR="0005476B" w:rsidRDefault="0005476B" w:rsidP="0005476B">
      <w:pPr>
        <w:numPr>
          <w:ilvl w:val="0"/>
          <w:numId w:val="32"/>
        </w:numPr>
        <w:ind w:left="709"/>
        <w:jc w:val="both"/>
        <w:rPr>
          <w:szCs w:val="24"/>
        </w:rPr>
      </w:pPr>
      <w:r>
        <w:rPr>
          <w:rStyle w:val="Lbjegyzet-hivatkozs"/>
          <w:szCs w:val="24"/>
        </w:rPr>
        <w:footnoteReference w:id="9"/>
      </w: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</w:p>
    <w:p w:rsidR="0005476B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b/>
          <w:szCs w:val="24"/>
        </w:rPr>
        <w:t>III/3.</w:t>
      </w:r>
      <w:r>
        <w:rPr>
          <w:rStyle w:val="Lbjegyzet-hivatkozs"/>
          <w:b/>
          <w:szCs w:val="24"/>
        </w:rPr>
        <w:footnoteReference w:id="10"/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5476B" w:rsidRPr="00E2454E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</w:rPr>
      </w:pPr>
      <w:r w:rsidRPr="00E2454E">
        <w:rPr>
          <w:b/>
        </w:rPr>
        <w:t>III/4.</w:t>
      </w:r>
      <w:r>
        <w:rPr>
          <w:rStyle w:val="Lbjegyzet-hivatkozs"/>
          <w:b/>
        </w:rPr>
        <w:footnoteReference w:id="11"/>
      </w:r>
      <w:r w:rsidRPr="00E2454E">
        <w:rPr>
          <w:b/>
        </w:rPr>
        <w:t xml:space="preserve"> </w:t>
      </w:r>
      <w:r>
        <w:rPr>
          <w:b/>
        </w:rPr>
        <w:t xml:space="preserve">A </w:t>
      </w:r>
      <w:r w:rsidRPr="00E2454E">
        <w:rPr>
          <w:b/>
        </w:rPr>
        <w:t>Kulturális, Ifjúsági, Civil</w:t>
      </w:r>
      <w:r>
        <w:rPr>
          <w:b/>
        </w:rPr>
        <w:t>, Sport, Oktatási</w:t>
      </w:r>
      <w:r w:rsidRPr="00E2454E">
        <w:rPr>
          <w:b/>
        </w:rPr>
        <w:t xml:space="preserve"> és Nemzetközi Kapcsolatok Bizottságá</w:t>
      </w:r>
      <w:r>
        <w:rPr>
          <w:b/>
        </w:rPr>
        <w:t>ra</w:t>
      </w:r>
      <w:r w:rsidRPr="00E2454E">
        <w:rPr>
          <w:b/>
        </w:rPr>
        <w:t xml:space="preserve"> átruházott hatáskörök:</w:t>
      </w:r>
    </w:p>
    <w:p w:rsidR="0005476B" w:rsidRPr="00E2454E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</w:rPr>
      </w:pPr>
    </w:p>
    <w:p w:rsidR="0005476B" w:rsidRPr="00E2454E" w:rsidRDefault="0005476B" w:rsidP="0005476B">
      <w:pPr>
        <w:pStyle w:val="Listaszerbekezds"/>
        <w:tabs>
          <w:tab w:val="left" w:pos="0"/>
        </w:tabs>
        <w:ind w:left="0"/>
        <w:jc w:val="both"/>
      </w:pPr>
      <w:r w:rsidRPr="00E2454E">
        <w:t>A bizottság átruházott hatáskörben: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Városi Könyvtár által ellátandó feladatokról, a szolgáltatások díjairól;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sport, illetve a kulturális célú civil szervezetek önkormányzati támogatásának módjáról, összegéről, a támogatottak köréről;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az „Év sportolója, edzője, csapata” és a „Jó tanuló, jó sportoló” díjak odaítéléséről;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ellátja a tevékenységi körével összefüggő fórumokon, rendezvényeken való képviseletet;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Városi Könyvtár Szervezeti és Működési Szabályzatának módosításáról;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engedélyezi a városi címer használatát az önkormányzati rendeletben meghatározottak szerint;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 xml:space="preserve">dönt a Szigetvári Vár </w:t>
      </w:r>
      <w:proofErr w:type="gramStart"/>
      <w:r w:rsidRPr="00E2454E">
        <w:t>nyitva tartási</w:t>
      </w:r>
      <w:proofErr w:type="gramEnd"/>
      <w:r w:rsidRPr="00E2454E">
        <w:t xml:space="preserve"> rendjéről, valamint a különböző ajánlatcsomagok bevezetéséről, módosításáról;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 xml:space="preserve">dönt a köznevelési intézmények szervezeti és működési szabályzatainak, házirendjének és minőségirányítási programjának jóváhagyásáról; 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oktatási intézményekben működő iskolaszékekbe képviselő delegálásáról;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oktatási, nevelési, közművelődési önkormányzati intézmények vezetőinek szakmai kitüntetésre való felterjesztéséről;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általa fenntartott köznevelési intézmények nevelési és pedagógiai programjának jóváhagyásáról;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720" w:hanging="11"/>
        <w:contextualSpacing/>
        <w:jc w:val="both"/>
      </w:pPr>
      <w:r w:rsidRPr="00E2454E">
        <w:t>dönt az önkormányzat által finanszírozott ösztöndíjak odaítéléséről.</w:t>
      </w: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</w:p>
    <w:p w:rsidR="0005476B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5476B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5476B" w:rsidRPr="00836999" w:rsidRDefault="0005476B" w:rsidP="0005476B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2"/>
      </w:r>
    </w:p>
    <w:p w:rsidR="0005476B" w:rsidRDefault="0005476B" w:rsidP="0005476B">
      <w:pPr>
        <w:numPr>
          <w:ilvl w:val="0"/>
          <w:numId w:val="34"/>
        </w:numPr>
        <w:jc w:val="both"/>
        <w:rPr>
          <w:szCs w:val="24"/>
        </w:rPr>
      </w:pPr>
      <w:r>
        <w:rPr>
          <w:rStyle w:val="Lbjegyzet-hivatkozs"/>
          <w:szCs w:val="24"/>
        </w:rPr>
        <w:footnoteReference w:id="13"/>
      </w:r>
    </w:p>
    <w:p w:rsidR="0005476B" w:rsidRPr="00604E44" w:rsidRDefault="0005476B" w:rsidP="0005476B">
      <w:pPr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4"/>
      </w:r>
    </w:p>
    <w:p w:rsidR="0005476B" w:rsidRPr="00836999" w:rsidRDefault="0005476B" w:rsidP="0005476B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EB21C1">
        <w:rPr>
          <w:rStyle w:val="Lbjegyzet-hivatkozs"/>
          <w:szCs w:val="24"/>
        </w:rPr>
        <w:lastRenderedPageBreak/>
        <w:footnoteReference w:id="15"/>
      </w:r>
    </w:p>
    <w:p w:rsidR="0005476B" w:rsidRDefault="0005476B" w:rsidP="0005476B">
      <w:pPr>
        <w:pStyle w:val="Listaszerbekezds"/>
        <w:numPr>
          <w:ilvl w:val="0"/>
          <w:numId w:val="34"/>
        </w:numPr>
        <w:jc w:val="both"/>
      </w:pPr>
      <w:r>
        <w:rPr>
          <w:rStyle w:val="Lbjegyzet-hivatkozs"/>
        </w:rPr>
        <w:footnoteReference w:id="16"/>
      </w:r>
      <w:r>
        <w:t xml:space="preserve"> Szigetvár Város Önkormányzata Képviselő-testületének a lakások és helyiségek </w:t>
      </w:r>
      <w:proofErr w:type="gramStart"/>
      <w:r>
        <w:t>bérletéről</w:t>
      </w:r>
      <w:proofErr w:type="gramEnd"/>
      <w:r>
        <w:t xml:space="preserve"> illetve elidegenítéséről szóló 20/2011. (IV.22.) számú önkormányzati rendelete alapján:</w:t>
      </w:r>
    </w:p>
    <w:p w:rsidR="0005476B" w:rsidRDefault="0005476B" w:rsidP="0005476B">
      <w:pPr>
        <w:pStyle w:val="Listaszerbekezds"/>
        <w:ind w:left="0"/>
        <w:jc w:val="both"/>
      </w:pP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szociális helyzet alapján a bérlakások bérlőinek kijelölése pályázati eljárás során,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szociális bérlakáshoz való juttatás esetén az elhelyezést a határozott idő lejárta előtt beérkezett kérelemre, újabb két évre meghosszabbíthatja,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költségelven megállapított lakbérű lakások bérlőinek kijelölése pályázati eljárás során,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hozzájárul a költségelven megállapított házastársi bérlőtársi szerződés megkötéséhez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szolgálati lakáshoz juttatásról döntés,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szolgálati lakáshoz juttatás esetén az elhelyezést a határozott idő lejárta előtt beérkezett kérelemre, újabb, határozott időre meghosszabbíthatja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szolgálati jogviszony megszűnése után, különös méltánylást érdemlő esetben legfeljebb egy évig </w:t>
      </w:r>
      <w:proofErr w:type="spellStart"/>
      <w:r>
        <w:t>továbbengedélyezheti</w:t>
      </w:r>
      <w:proofErr w:type="spellEnd"/>
      <w:r>
        <w:t xml:space="preserve"> a lakáshasználatot;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proofErr w:type="spellStart"/>
      <w:r>
        <w:t>vis</w:t>
      </w:r>
      <w:proofErr w:type="spellEnd"/>
      <w:r>
        <w:t xml:space="preserve"> maior esetén kijelöli a bérlő személyét,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hozzájárul a rendeletben meghatározott feltételek mellett az </w:t>
      </w:r>
      <w:proofErr w:type="spellStart"/>
      <w:r>
        <w:t>Ltv</w:t>
      </w:r>
      <w:proofErr w:type="spellEnd"/>
      <w:r>
        <w:t>. 22. § (1) bekezdés szerinti tartási szerződés megkötéséhez,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különös méltánylást érdemlő esetben, a rendeletben meghatározott feltételek teljesülése esetén engedélyezheti a házastárs, élettárs vagy gyermek részére a bérleti jogviszony folytatását,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hozzájárul részletre vétel esetén az ingatlan vevő általi megterheléséhez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cserelakás </w:t>
      </w:r>
      <w:proofErr w:type="gramStart"/>
      <w:r>
        <w:t>biztosítására</w:t>
      </w:r>
      <w:proofErr w:type="gramEnd"/>
      <w:r>
        <w:t xml:space="preserve"> illetve az ehhez kapcsolódó bérbeadói hozzájárulás megadására jogosult,</w:t>
      </w:r>
    </w:p>
    <w:p w:rsidR="0005476B" w:rsidRDefault="0005476B" w:rsidP="0005476B">
      <w:pPr>
        <w:numPr>
          <w:ilvl w:val="1"/>
          <w:numId w:val="35"/>
        </w:numPr>
        <w:spacing w:line="276" w:lineRule="auto"/>
        <w:jc w:val="both"/>
      </w:pPr>
      <w:r>
        <w:t>dönt érvényes lakásbérleti szerződés módosításáról,</w:t>
      </w:r>
    </w:p>
    <w:p w:rsidR="0005476B" w:rsidRDefault="0005476B" w:rsidP="0005476B">
      <w:pPr>
        <w:pStyle w:val="Listaszerbekezds"/>
        <w:ind w:left="720" w:firstLine="360"/>
        <w:jc w:val="both"/>
      </w:pPr>
      <w:r>
        <w:t>o</w:t>
      </w:r>
      <w:r w:rsidRPr="00E2454E">
        <w:t>)</w:t>
      </w:r>
      <w:r>
        <w:rPr>
          <w:rStyle w:val="Lbjegyzet-hivatkozs"/>
        </w:rPr>
        <w:footnoteReference w:id="17"/>
      </w:r>
      <w:r w:rsidRPr="00E2454E">
        <w:t xml:space="preserve"> lakásbérleti szerződés felbontását kezdeményezheti.</w:t>
      </w:r>
    </w:p>
    <w:p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1B" w:rsidRDefault="00C7751B" w:rsidP="0005476B">
      <w:r>
        <w:separator/>
      </w:r>
    </w:p>
  </w:endnote>
  <w:endnote w:type="continuationSeparator" w:id="0">
    <w:p w:rsidR="00C7751B" w:rsidRDefault="00C7751B" w:rsidP="0005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1B" w:rsidRDefault="00C7751B" w:rsidP="0005476B">
      <w:r>
        <w:separator/>
      </w:r>
    </w:p>
  </w:footnote>
  <w:footnote w:type="continuationSeparator" w:id="0">
    <w:p w:rsidR="00C7751B" w:rsidRDefault="00C7751B" w:rsidP="0005476B">
      <w:r>
        <w:continuationSeparator/>
      </w:r>
    </w:p>
  </w:footnote>
  <w:footnote w:id="1">
    <w:p w:rsidR="0005476B" w:rsidRDefault="0005476B" w:rsidP="0005476B">
      <w:pPr>
        <w:pStyle w:val="Lbjegyzetszveg"/>
      </w:pPr>
    </w:p>
  </w:footnote>
  <w:footnote w:id="2">
    <w:p w:rsidR="0005476B" w:rsidRDefault="0005476B" w:rsidP="0005476B">
      <w:pPr>
        <w:pStyle w:val="Lbjegyzetszveg"/>
      </w:pPr>
    </w:p>
  </w:footnote>
  <w:footnote w:id="3">
    <w:p w:rsidR="0005476B" w:rsidRDefault="0005476B" w:rsidP="0005476B">
      <w:pPr>
        <w:pStyle w:val="Lbjegyzetszveg"/>
      </w:pPr>
    </w:p>
  </w:footnote>
  <w:footnote w:id="4">
    <w:p w:rsidR="0005476B" w:rsidRDefault="0005476B" w:rsidP="0005476B">
      <w:pPr>
        <w:pStyle w:val="Lbjegyzetszveg"/>
      </w:pPr>
    </w:p>
  </w:footnote>
  <w:footnote w:id="5">
    <w:p w:rsidR="0005476B" w:rsidRDefault="0005476B" w:rsidP="0005476B">
      <w:pPr>
        <w:pStyle w:val="Lbjegyzetszveg"/>
      </w:pPr>
    </w:p>
  </w:footnote>
  <w:footnote w:id="6">
    <w:p w:rsidR="0005476B" w:rsidRDefault="0005476B" w:rsidP="0005476B">
      <w:pPr>
        <w:pStyle w:val="Lbjegyzetszveg"/>
      </w:pPr>
    </w:p>
  </w:footnote>
  <w:footnote w:id="7">
    <w:p w:rsidR="0005476B" w:rsidRDefault="0005476B" w:rsidP="0005476B">
      <w:pPr>
        <w:pStyle w:val="Lbjegyzetszveg"/>
      </w:pPr>
    </w:p>
  </w:footnote>
  <w:footnote w:id="8">
    <w:p w:rsidR="0005476B" w:rsidRDefault="0005476B" w:rsidP="0005476B">
      <w:pPr>
        <w:pStyle w:val="Lbjegyzetszveg"/>
      </w:pPr>
    </w:p>
  </w:footnote>
  <w:footnote w:id="9">
    <w:p w:rsidR="0005476B" w:rsidRDefault="0005476B" w:rsidP="0005476B">
      <w:pPr>
        <w:pStyle w:val="Lbjegyzetszveg"/>
      </w:pPr>
    </w:p>
  </w:footnote>
  <w:footnote w:id="10">
    <w:p w:rsidR="0005476B" w:rsidRDefault="0005476B" w:rsidP="0005476B">
      <w:pPr>
        <w:pStyle w:val="Lbjegyzetszveg"/>
      </w:pPr>
    </w:p>
  </w:footnote>
  <w:footnote w:id="11">
    <w:p w:rsidR="0005476B" w:rsidRDefault="0005476B" w:rsidP="0005476B">
      <w:pPr>
        <w:pStyle w:val="Lbjegyzetszveg"/>
      </w:pPr>
    </w:p>
  </w:footnote>
  <w:footnote w:id="12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>.</w:t>
      </w:r>
    </w:p>
  </w:footnote>
  <w:footnote w:id="13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  <w:footnote w:id="14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  <w:footnote w:id="15">
    <w:p w:rsidR="0005476B" w:rsidRDefault="0005476B" w:rsidP="0005476B">
      <w:pPr>
        <w:pStyle w:val="Lbjegyzetszveg"/>
      </w:pPr>
    </w:p>
  </w:footnote>
  <w:footnote w:id="16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  <w:footnote w:id="17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3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C05417"/>
    <w:multiLevelType w:val="hybridMultilevel"/>
    <w:tmpl w:val="5C00F7CA"/>
    <w:lvl w:ilvl="0" w:tplc="F260CD06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0"/>
  </w:num>
  <w:num w:numId="3">
    <w:abstractNumId w:val="17"/>
  </w:num>
  <w:num w:numId="4">
    <w:abstractNumId w:val="12"/>
  </w:num>
  <w:num w:numId="5">
    <w:abstractNumId w:val="2"/>
  </w:num>
  <w:num w:numId="6">
    <w:abstractNumId w:val="8"/>
  </w:num>
  <w:num w:numId="7">
    <w:abstractNumId w:val="35"/>
  </w:num>
  <w:num w:numId="8">
    <w:abstractNumId w:val="16"/>
  </w:num>
  <w:num w:numId="9">
    <w:abstractNumId w:val="21"/>
  </w:num>
  <w:num w:numId="10">
    <w:abstractNumId w:val="4"/>
  </w:num>
  <w:num w:numId="11">
    <w:abstractNumId w:val="26"/>
  </w:num>
  <w:num w:numId="12">
    <w:abstractNumId w:val="28"/>
  </w:num>
  <w:num w:numId="13">
    <w:abstractNumId w:val="29"/>
  </w:num>
  <w:num w:numId="14">
    <w:abstractNumId w:val="9"/>
  </w:num>
  <w:num w:numId="15">
    <w:abstractNumId w:val="13"/>
  </w:num>
  <w:num w:numId="16">
    <w:abstractNumId w:val="27"/>
  </w:num>
  <w:num w:numId="17">
    <w:abstractNumId w:val="6"/>
  </w:num>
  <w:num w:numId="18">
    <w:abstractNumId w:val="14"/>
  </w:num>
  <w:num w:numId="19">
    <w:abstractNumId w:val="19"/>
  </w:num>
  <w:num w:numId="20">
    <w:abstractNumId w:val="32"/>
  </w:num>
  <w:num w:numId="21">
    <w:abstractNumId w:val="7"/>
  </w:num>
  <w:num w:numId="22">
    <w:abstractNumId w:val="20"/>
  </w:num>
  <w:num w:numId="23">
    <w:abstractNumId w:val="25"/>
  </w:num>
  <w:num w:numId="24">
    <w:abstractNumId w:val="1"/>
  </w:num>
  <w:num w:numId="25">
    <w:abstractNumId w:val="15"/>
  </w:num>
  <w:num w:numId="26">
    <w:abstractNumId w:val="33"/>
  </w:num>
  <w:num w:numId="27">
    <w:abstractNumId w:val="11"/>
  </w:num>
  <w:num w:numId="28">
    <w:abstractNumId w:val="18"/>
  </w:num>
  <w:num w:numId="29">
    <w:abstractNumId w:val="0"/>
  </w:num>
  <w:num w:numId="30">
    <w:abstractNumId w:val="5"/>
  </w:num>
  <w:num w:numId="31">
    <w:abstractNumId w:val="23"/>
  </w:num>
  <w:num w:numId="32">
    <w:abstractNumId w:val="24"/>
  </w:num>
  <w:num w:numId="33">
    <w:abstractNumId w:val="22"/>
  </w:num>
  <w:num w:numId="34">
    <w:abstractNumId w:val="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6B"/>
    <w:rsid w:val="0005476B"/>
    <w:rsid w:val="00C7751B"/>
    <w:rsid w:val="00D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8CCA"/>
  <w15:chartTrackingRefBased/>
  <w15:docId w15:val="{4F536BC2-5E2C-4E81-9A9F-CF7876DB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05476B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05476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05476B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5476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5476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5476B"/>
    <w:pPr>
      <w:ind w:left="708"/>
    </w:pPr>
  </w:style>
  <w:style w:type="paragraph" w:customStyle="1" w:styleId="Tblzattartalom">
    <w:name w:val="Táblázattartalom"/>
    <w:basedOn w:val="Szvegtrzs"/>
    <w:rsid w:val="0005476B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547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476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2879</Words>
  <Characters>19869</Characters>
  <Application>Microsoft Office Word</Application>
  <DocSecurity>0</DocSecurity>
  <Lines>165</Lines>
  <Paragraphs>45</Paragraphs>
  <ScaleCrop>false</ScaleCrop>
  <Company/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2019-12-20T08:33:00Z</dcterms:created>
  <dcterms:modified xsi:type="dcterms:W3CDTF">2019-12-20T08:36:00Z</dcterms:modified>
</cp:coreProperties>
</file>