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Kőkút Község Önkormányzata Képviselő-testületének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4/2021. (III.</w:t>
      </w:r>
      <w:r>
        <w:rPr>
          <w:rFonts w:cs="Times New Roman" w:ascii="Times New Roman" w:hAnsi="Times New Roman"/>
          <w:b/>
          <w:bCs/>
          <w:sz w:val="24"/>
          <w:szCs w:val="24"/>
        </w:rPr>
        <w:t>12.</w:t>
      </w:r>
      <w:r>
        <w:rPr>
          <w:rFonts w:cs="Times New Roman" w:ascii="Times New Roman" w:hAnsi="Times New Roman"/>
          <w:b/>
          <w:bCs/>
          <w:sz w:val="24"/>
          <w:szCs w:val="24"/>
        </w:rPr>
        <w:t>) önkormányzati rendelete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az önkormányzat 2021. évi költségvetéséről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Szvegtrz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Kőkút Község Polgármestere a katasztrófavédelemről és a hozzá kapcsolódó egyes törvények módosításáról szóló 2011. évi CXXVIII. törvény 46. § (4) bekezdésben kapott felhatalmazása alapján a 27/2021. (I. 29.) Korm. rendelettel kihirdetett veszélyhelyzetre figyelemmel Kőkút Községi Önkormányzata Képviselő-testülete feladat- és hatáskörében eljárva, valamint az Alaptörvény 32. cikk (2) bekezdésében meghatározott eredeti jogalkotói hatáskörében, az Alaptörvény 32. cikk (1) bekezdés f) pontjában meghatározott feladatkörében eljárva  Kőkút Községi Önkormányzata 2021. évi költségvetéséről a következőket rendeli el.</w:t>
      </w:r>
    </w:p>
    <w:p>
      <w:pPr>
        <w:pStyle w:val="NoSpacing"/>
        <w:ind w:left="142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I.fejezet</w:t>
      </w:r>
    </w:p>
    <w:p>
      <w:pPr>
        <w:pStyle w:val="NoSpacing"/>
        <w:ind w:left="142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ind w:left="142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ÁLTALÁNOS RENDELKEZÉSEK</w:t>
      </w:r>
    </w:p>
    <w:p>
      <w:pPr>
        <w:pStyle w:val="NoSpacing"/>
        <w:ind w:left="142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numPr>
          <w:ilvl w:val="0"/>
          <w:numId w:val="1"/>
        </w:numPr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§.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A rendelet hatálya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 rendelet hatálya a képviselő-testületre és annak szerveire terjed ki. </w:t>
      </w:r>
    </w:p>
    <w:p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 rendelet meghatározza a kötelező és önként vállalt feladatok ellátásához szükséges bevételeket és kiadásokat, figyelemmel a 2021. évi gazdálkodás főbb szabályaira. 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numPr>
          <w:ilvl w:val="0"/>
          <w:numId w:val="1"/>
        </w:numPr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§.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A költségvetés címrendje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Kőkút Község Polgármestere a címrendet az alábbiak szerint állapítja meg.</w:t>
      </w:r>
    </w:p>
    <w:p>
      <w:pPr>
        <w:pStyle w:val="NoSpacing"/>
        <w:ind w:left="360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ab/>
        <w:t>- Kőkút Község Önkormányzata önálló címet alkot.</w:t>
      </w:r>
    </w:p>
    <w:p>
      <w:pPr>
        <w:pStyle w:val="NoSpacing"/>
        <w:ind w:left="72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</w:t>
      </w:r>
    </w:p>
    <w:p>
      <w:pPr>
        <w:pStyle w:val="NoSpacing"/>
        <w:ind w:left="72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II.fejezet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A KÖLTSÉGVETÉS BEVÉTELEI ÉS KIADÁSAI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numPr>
          <w:ilvl w:val="0"/>
          <w:numId w:val="1"/>
        </w:numPr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§.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A költségvetés bevételei és kiadásai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Kőkút Község Polgármestere az önkormányzat és költségvetési szerve együttes 2021. évi költségvetését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bookmarkStart w:id="0" w:name="_Hlk2605982"/>
      <w:r>
        <w:rPr>
          <w:rFonts w:cs="Times New Roman" w:ascii="Times New Roman" w:hAnsi="Times New Roman"/>
          <w:b/>
          <w:sz w:val="24"/>
          <w:szCs w:val="24"/>
        </w:rPr>
        <w:t>228.671.561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bookmarkEnd w:id="0"/>
      <w:r>
        <w:rPr>
          <w:rFonts w:cs="Times New Roman" w:ascii="Times New Roman" w:hAnsi="Times New Roman"/>
          <w:b/>
          <w:bCs/>
          <w:sz w:val="24"/>
          <w:szCs w:val="24"/>
        </w:rPr>
        <w:t>Ft összes költségvetési bevétellel,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228.671.561 Ft összes költségvetési kiadással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állapítja meg. 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</w:t>
      </w:r>
    </w:p>
    <w:p>
      <w:pPr>
        <w:pStyle w:val="NoSpacing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Ezen belül:  </w:t>
      </w:r>
    </w:p>
    <w:p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>a működési célú bevételt</w:t>
        <w:tab/>
        <w:tab/>
        <w:tab/>
        <w:tab/>
        <w:tab/>
        <w:tab/>
        <w:t>63.300.418 Ft-ban</w:t>
      </w:r>
    </w:p>
    <w:p>
      <w:pPr>
        <w:pStyle w:val="NoSpacing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  <w:tab/>
      </w:r>
      <w:r>
        <w:rPr>
          <w:rFonts w:cs="Times New Roman" w:ascii="Times New Roman" w:hAnsi="Times New Roman"/>
          <w:sz w:val="24"/>
          <w:szCs w:val="24"/>
        </w:rPr>
        <w:t>felhalmozás célú bevétel</w:t>
      </w:r>
      <w:r>
        <w:rPr>
          <w:rFonts w:cs="Times New Roman" w:ascii="Times New Roman" w:hAnsi="Times New Roman"/>
          <w:color w:val="FF0000"/>
          <w:sz w:val="24"/>
          <w:szCs w:val="24"/>
        </w:rPr>
        <w:tab/>
        <w:tab/>
        <w:tab/>
        <w:tab/>
        <w:tab/>
        <w:tab/>
      </w:r>
      <w:r>
        <w:rPr>
          <w:rFonts w:cs="Times New Roman" w:ascii="Times New Roman" w:hAnsi="Times New Roman"/>
          <w:color w:val="auto"/>
          <w:sz w:val="24"/>
          <w:szCs w:val="24"/>
        </w:rPr>
        <w:t>165.371.143</w:t>
      </w:r>
      <w:r>
        <w:rPr>
          <w:rFonts w:cs="Times New Roman" w:ascii="Times New Roman" w:hAnsi="Times New Roman"/>
          <w:sz w:val="24"/>
          <w:szCs w:val="24"/>
        </w:rPr>
        <w:t xml:space="preserve"> Ft-ban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előző évi pénzmaradvány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működési</w:t>
        <w:tab/>
        <w:tab/>
        <w:tab/>
        <w:tab/>
        <w:tab/>
        <w:tab/>
        <w:tab/>
        <w:tab/>
        <w:tab/>
        <w:t>53.583.286 Ft-ban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felhalmozási</w:t>
        <w:tab/>
      </w:r>
      <w:r>
        <w:rPr>
          <w:rFonts w:cs="Times New Roman" w:ascii="Times New Roman" w:hAnsi="Times New Roman"/>
          <w:color w:val="FF0000"/>
          <w:sz w:val="24"/>
          <w:szCs w:val="24"/>
        </w:rPr>
        <w:tab/>
        <w:tab/>
        <w:tab/>
        <w:tab/>
        <w:tab/>
        <w:tab/>
        <w:tab/>
      </w:r>
      <w:r>
        <w:rPr>
          <w:rFonts w:cs="Times New Roman" w:ascii="Times New Roman" w:hAnsi="Times New Roman"/>
          <w:sz w:val="24"/>
          <w:szCs w:val="24"/>
        </w:rPr>
        <w:t xml:space="preserve">       </w:t>
        <w:tab/>
        <w:tab/>
        <w:t xml:space="preserve">    0 Ft-ban</w:t>
        <w:tab/>
        <w:t xml:space="preserve">     </w:t>
        <w:tab/>
        <w:t xml:space="preserve">  </w:t>
        <w:tab/>
        <w:tab/>
        <w:tab/>
        <w:tab/>
        <w:tab/>
        <w:t xml:space="preserve">  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működési célú kiadásokat</w:t>
        <w:tab/>
        <w:tab/>
        <w:tab/>
        <w:tab/>
        <w:tab/>
        <w:tab/>
        <w:tab/>
        <w:t>100.726.286 Ft-ban</w:t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>ebből:</w:t>
      </w:r>
    </w:p>
    <w:p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 személyi juttatások kiadásait</w:t>
        <w:tab/>
        <w:tab/>
        <w:tab/>
        <w:t xml:space="preserve">         </w:t>
        <w:tab/>
        <w:t>40.495.753</w:t>
      </w:r>
      <w:r>
        <w:rPr>
          <w:rFonts w:cs="Times New Roman" w:ascii="Times New Roman" w:hAnsi="Times New Roman"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Ft-ban</w:t>
      </w:r>
    </w:p>
    <w:p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 munkaadót terhelő járulékokat </w:t>
        <w:tab/>
        <w:tab/>
        <w:tab/>
        <w:tab/>
      </w:r>
      <w:r>
        <w:rPr>
          <w:rFonts w:cs="Times New Roman" w:ascii="Times New Roman" w:hAnsi="Times New Roman"/>
          <w:bCs/>
          <w:sz w:val="24"/>
          <w:szCs w:val="24"/>
        </w:rPr>
        <w:t xml:space="preserve">4.548.970 </w:t>
      </w:r>
      <w:r>
        <w:rPr>
          <w:rFonts w:cs="Times New Roman" w:ascii="Times New Roman" w:hAnsi="Times New Roman"/>
          <w:sz w:val="24"/>
          <w:szCs w:val="24"/>
        </w:rPr>
        <w:t>Ft-ban</w:t>
      </w:r>
    </w:p>
    <w:p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 dologi kiadásokat</w:t>
        <w:tab/>
        <w:tab/>
        <w:tab/>
        <w:tab/>
        <w:tab/>
        <w:t>13.397.590</w:t>
      </w:r>
      <w:r>
        <w:rPr>
          <w:rFonts w:cs="Times New Roman" w:ascii="Times New Roman" w:hAnsi="Times New Roman"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Ft-ban</w:t>
      </w:r>
    </w:p>
    <w:p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az ellátottak pénzbeli juttatásait</w:t>
        <w:tab/>
        <w:tab/>
        <w:tab/>
        <w:tab/>
      </w:r>
      <w:r>
        <w:rPr>
          <w:rFonts w:cs="Times New Roman" w:ascii="Times New Roman" w:hAnsi="Times New Roman"/>
          <w:bCs/>
          <w:sz w:val="24"/>
          <w:szCs w:val="24"/>
        </w:rPr>
        <w:t xml:space="preserve">5.668.331 </w:t>
      </w:r>
      <w:r>
        <w:rPr>
          <w:rFonts w:cs="Times New Roman" w:ascii="Times New Roman" w:hAnsi="Times New Roman"/>
          <w:sz w:val="24"/>
          <w:szCs w:val="24"/>
        </w:rPr>
        <w:t>Ft-ban</w:t>
      </w:r>
    </w:p>
    <w:p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egyéb működési célú kiadásokat</w:t>
        <w:tab/>
        <w:tab/>
        <w:tab/>
        <w:tab/>
      </w:r>
      <w:r>
        <w:rPr>
          <w:rFonts w:cs="Times New Roman" w:ascii="Times New Roman" w:hAnsi="Times New Roman"/>
          <w:bCs/>
          <w:sz w:val="24"/>
          <w:szCs w:val="24"/>
        </w:rPr>
        <w:t xml:space="preserve">34.918.085 </w:t>
      </w:r>
      <w:r>
        <w:rPr>
          <w:rFonts w:cs="Times New Roman" w:ascii="Times New Roman" w:hAnsi="Times New Roman"/>
          <w:sz w:val="24"/>
          <w:szCs w:val="24"/>
        </w:rPr>
        <w:t>Ft-ban</w:t>
      </w:r>
    </w:p>
    <w:p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Áht.-n belüli megelőlegezések kiadásai</w:t>
        <w:tab/>
        <w:tab/>
        <w:t xml:space="preserve">            1.697.557 Ft-ban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ind w:left="708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 felhalmozás célú kiadásokat</w:t>
        <w:tab/>
        <w:tab/>
        <w:tab/>
        <w:tab/>
        <w:t xml:space="preserve">           127.945.275  Ft-ban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állapítja meg. 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numPr>
          <w:ilvl w:val="0"/>
          <w:numId w:val="1"/>
        </w:numPr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§.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Az Önkormányzat bevételi és kiadási főösszegének mérlegszerű bemutatását az </w:t>
      </w:r>
      <w:r>
        <w:rPr>
          <w:rFonts w:cs="Times New Roman" w:ascii="Times New Roman" w:hAnsi="Times New Roman"/>
          <w:b/>
          <w:bCs/>
          <w:sz w:val="24"/>
          <w:szCs w:val="24"/>
        </w:rPr>
        <w:t>1. sz. melléklet</w:t>
      </w:r>
      <w:r>
        <w:rPr>
          <w:rFonts w:cs="Times New Roman" w:ascii="Times New Roman" w:hAnsi="Times New Roman"/>
          <w:sz w:val="24"/>
          <w:szCs w:val="24"/>
        </w:rPr>
        <w:t xml:space="preserve"> tartalmazza.</w:t>
      </w:r>
    </w:p>
    <w:p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Az Önkormányzat bevételeit részletes bontásban kötelező és önként vállalt államigazgatási feladatok szerinti részletezésben a </w:t>
      </w:r>
      <w:r>
        <w:rPr>
          <w:rFonts w:cs="Times New Roman" w:ascii="Times New Roman" w:hAnsi="Times New Roman"/>
          <w:b/>
          <w:bCs/>
          <w:sz w:val="24"/>
          <w:szCs w:val="24"/>
        </w:rPr>
        <w:t>2. sz. melléklet</w:t>
      </w:r>
      <w:r>
        <w:rPr>
          <w:rFonts w:cs="Times New Roman" w:ascii="Times New Roman" w:hAnsi="Times New Roman"/>
          <w:sz w:val="24"/>
          <w:szCs w:val="24"/>
        </w:rPr>
        <w:t xml:space="preserve">, kormányzati funkciók szerinti bontásban a </w:t>
      </w:r>
      <w:r>
        <w:rPr>
          <w:rFonts w:cs="Times New Roman" w:ascii="Times New Roman" w:hAnsi="Times New Roman"/>
          <w:b/>
          <w:bCs/>
          <w:sz w:val="24"/>
          <w:szCs w:val="24"/>
        </w:rPr>
        <w:t>4 sz.</w:t>
      </w:r>
      <w:r>
        <w:rPr>
          <w:rFonts w:cs="Times New Roman" w:ascii="Times New Roman" w:hAnsi="Times New Roman"/>
          <w:sz w:val="24"/>
          <w:szCs w:val="24"/>
        </w:rPr>
        <w:t xml:space="preserve"> melléklet tartalmazza.</w:t>
      </w:r>
    </w:p>
    <w:p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Az Önkormányzat kiadásait elkülönítetten, jogcímenkénti bontásban kötelező, önként vállalt és államigazgatási feladatok szerinti részletezésben a </w:t>
      </w:r>
      <w:r>
        <w:rPr>
          <w:rFonts w:cs="Times New Roman" w:ascii="Times New Roman" w:hAnsi="Times New Roman"/>
          <w:b/>
          <w:bCs/>
          <w:sz w:val="24"/>
          <w:szCs w:val="24"/>
        </w:rPr>
        <w:t>3. sz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  <w:r>
        <w:rPr>
          <w:rFonts w:cs="Times New Roman" w:ascii="Times New Roman" w:hAnsi="Times New Roman"/>
          <w:b/>
          <w:bCs/>
          <w:sz w:val="24"/>
          <w:szCs w:val="24"/>
        </w:rPr>
        <w:t>melléklet</w:t>
      </w:r>
      <w:r>
        <w:rPr>
          <w:rFonts w:cs="Times New Roman" w:ascii="Times New Roman" w:hAnsi="Times New Roman"/>
          <w:sz w:val="24"/>
          <w:szCs w:val="24"/>
        </w:rPr>
        <w:t>, kormányzati funkciók szerint bontásban a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5 sz. melléklet</w:t>
      </w:r>
      <w:r>
        <w:rPr>
          <w:rFonts w:cs="Times New Roman" w:ascii="Times New Roman" w:hAnsi="Times New Roman"/>
          <w:sz w:val="24"/>
          <w:szCs w:val="24"/>
        </w:rPr>
        <w:t xml:space="preserve"> tartalmazza.</w:t>
      </w:r>
    </w:p>
    <w:p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Az Önkormányzat felhalmozási kiadásait részletes bontásban kötelező, önként vállalt és államigazgatási feladatok szerinti részletezésben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6. sz. melléklet </w:t>
      </w:r>
      <w:r>
        <w:rPr>
          <w:rFonts w:cs="Times New Roman" w:ascii="Times New Roman" w:hAnsi="Times New Roman"/>
          <w:sz w:val="24"/>
          <w:szCs w:val="24"/>
        </w:rPr>
        <w:t>tartalmazza.</w:t>
      </w:r>
    </w:p>
    <w:p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Az Önkormányzat költségvetési tartaléka </w:t>
      </w:r>
      <w:r>
        <w:rPr>
          <w:b/>
          <w:sz w:val="24"/>
          <w:szCs w:val="24"/>
        </w:rPr>
        <w:t xml:space="preserve">32.217.975 </w:t>
      </w:r>
      <w:r>
        <w:rPr>
          <w:rFonts w:cs="Times New Roman" w:ascii="Times New Roman" w:hAnsi="Times New Roman"/>
          <w:b/>
          <w:bCs/>
          <w:sz w:val="24"/>
          <w:szCs w:val="24"/>
        </w:rPr>
        <w:t>Ft.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Az Önkormányzat költségvetési szervének létszámkeretét a </w:t>
      </w:r>
      <w:r>
        <w:rPr>
          <w:rFonts w:cs="Times New Roman" w:ascii="Times New Roman" w:hAnsi="Times New Roman"/>
          <w:b/>
          <w:bCs/>
          <w:sz w:val="24"/>
          <w:szCs w:val="24"/>
        </w:rPr>
        <w:t>7. sz. melléklet</w:t>
      </w:r>
      <w:r>
        <w:rPr>
          <w:rFonts w:cs="Times New Roman" w:ascii="Times New Roman" w:hAnsi="Times New Roman"/>
          <w:sz w:val="24"/>
          <w:szCs w:val="24"/>
        </w:rPr>
        <w:t xml:space="preserve"> tartalmazza</w:t>
      </w:r>
    </w:p>
    <w:p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Az Önkormányzat adósságot keletkeztető ügyletekből és kezességvállalásokból származó kötelezettségeit és a Magyarország gazdasági stabilitásáról szóló 2011. évi CXCIV. törvény szerinti saját bevételeit a </w:t>
      </w:r>
      <w:r>
        <w:rPr>
          <w:rFonts w:cs="Times New Roman" w:ascii="Times New Roman" w:hAnsi="Times New Roman"/>
          <w:b/>
          <w:bCs/>
          <w:sz w:val="24"/>
          <w:szCs w:val="24"/>
        </w:rPr>
        <w:t>10. melléklet</w:t>
      </w:r>
      <w:r>
        <w:rPr>
          <w:rFonts w:cs="Times New Roman" w:ascii="Times New Roman" w:hAnsi="Times New Roman"/>
          <w:sz w:val="24"/>
          <w:szCs w:val="24"/>
        </w:rPr>
        <w:t xml:space="preserve"> tartalmazza.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3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A bevételi többlet kezelése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numPr>
          <w:ilvl w:val="0"/>
          <w:numId w:val="1"/>
        </w:numPr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§.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 gazdálkodási év során keletkezett bevételi többlet felhasználásáról a képviselő-testület annak teljesülését követően esetenként dönt. </w:t>
      </w:r>
    </w:p>
    <w:p>
      <w:pPr>
        <w:pStyle w:val="NoSpacing"/>
        <w:ind w:left="72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 Hivatal a jóváhagyott bevételi előirányzatain felüli többletbevételét az irányító szerv egyidejű tájékoztatásával, a tényleges többletnek megfelelő összegű, saját hatáskörű előirányzat-módosítás után használja fel. 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Általános és céltartalék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numPr>
          <w:ilvl w:val="0"/>
          <w:numId w:val="1"/>
        </w:numPr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§.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Kőkút Község Polgármestere az önkormányzat </w:t>
      </w:r>
      <w:r>
        <w:rPr>
          <w:rFonts w:cs="Times New Roman" w:ascii="Times New Roman" w:hAnsi="Times New Roman"/>
          <w:b/>
          <w:bCs/>
          <w:sz w:val="24"/>
          <w:szCs w:val="24"/>
        </w:rPr>
        <w:t>általános tartalékát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 xml:space="preserve">1.000.000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Ft </w:t>
      </w:r>
      <w:r>
        <w:rPr>
          <w:rFonts w:cs="Times New Roman" w:ascii="Times New Roman" w:hAnsi="Times New Roman"/>
          <w:sz w:val="24"/>
          <w:szCs w:val="24"/>
        </w:rPr>
        <w:t>összegben,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cél tartalékát 31.217.975 Ft </w:t>
      </w:r>
      <w:bookmarkStart w:id="1" w:name="_GoBack"/>
      <w:bookmarkEnd w:id="1"/>
      <w:r>
        <w:rPr>
          <w:rFonts w:cs="Times New Roman" w:ascii="Times New Roman" w:hAnsi="Times New Roman"/>
          <w:sz w:val="24"/>
          <w:szCs w:val="24"/>
        </w:rPr>
        <w:t>összegben állapítja meg. A céltartalék kizárólag előre nem látható esetekben – belvízmentesítés, viharkár elhárítás stb. – használható fel. A céltartalék felhasználásáról - a képviselő-testület előtti utólagos beszámolási kötelezettséggel – a polgármester dönt.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Az általános tartalék felhasználásáról a képviselő-testület az erre vonatkozó igény felmerülésekor dönt. 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Többéves kihatással járó döntések, európai uniós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programok, projektek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numPr>
          <w:ilvl w:val="0"/>
          <w:numId w:val="1"/>
        </w:numPr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§.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Kőkút Község Polgármestere többéves kihatással járó feladatról, ill. európai uniós forrásból megvalósuló programok, projektek tárgyában nem döntött. 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Előirányzat- felhasználási ütemterv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numPr>
          <w:ilvl w:val="0"/>
          <w:numId w:val="1"/>
        </w:numPr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§.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 költségvetés bevételi és kiadási előirányzatainak felhasználási ütemtervét havi bontásban a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8. sz. melléklet </w:t>
      </w:r>
      <w:r>
        <w:rPr>
          <w:rFonts w:cs="Times New Roman" w:ascii="Times New Roman" w:hAnsi="Times New Roman"/>
          <w:sz w:val="24"/>
          <w:szCs w:val="24"/>
        </w:rPr>
        <w:t xml:space="preserve">tartalmazza. 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Támogatások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numPr>
          <w:ilvl w:val="0"/>
          <w:numId w:val="1"/>
        </w:numPr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§.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Az önkormányzat által adott közvetlen támogatásokat tartalmazó kimutatást e rendelet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9. sz. melléklete </w:t>
      </w:r>
      <w:r>
        <w:rPr>
          <w:rFonts w:cs="Times New Roman" w:ascii="Times New Roman" w:hAnsi="Times New Roman"/>
          <w:sz w:val="24"/>
          <w:szCs w:val="24"/>
        </w:rPr>
        <w:t xml:space="preserve">tartalmazza. </w:t>
      </w:r>
    </w:p>
    <w:p>
      <w:pPr>
        <w:pStyle w:val="NoSpacing"/>
        <w:ind w:left="72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ind w:left="72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ind w:left="72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</w:t>
      </w:r>
    </w:p>
    <w:p>
      <w:pPr>
        <w:pStyle w:val="NoSpacing"/>
        <w:ind w:left="72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III. fejezet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A költségvetés végrehajtásának szabályai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numPr>
          <w:ilvl w:val="0"/>
          <w:numId w:val="1"/>
        </w:numPr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§.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Indent2"/>
        <w:ind w:left="0" w:hanging="0"/>
        <w:rPr/>
      </w:pPr>
      <w:r>
        <w:rPr>
          <w:sz w:val="24"/>
          <w:szCs w:val="24"/>
        </w:rPr>
        <w:t>(1) A képviselő-testület és szervei szervezeti és működési szabályzatáról szóló önkormányzati rendelet mellékletében átruházott hatáskörökön túl a jóváhagyott kiadási, bevételi és létszám-előirányzatok közötti és a céltartalék terhére történő átcsoportosítás jogát nem ruházza át, azt magának fenntartja.</w:t>
      </w:r>
    </w:p>
    <w:p>
      <w:pPr>
        <w:pStyle w:val="Normal"/>
        <w:jc w:val="both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BodyTextIndent2"/>
        <w:rPr/>
      </w:pPr>
      <w:r>
        <w:rPr>
          <w:sz w:val="24"/>
          <w:szCs w:val="24"/>
        </w:rPr>
        <w:t>(2)Az átruházott hatáskörben hozott döntések a későbbi években a képviselő-testület által jóváhagyottnál nagyobb többletkiadással nem járhatnak.</w:t>
      </w:r>
    </w:p>
    <w:p>
      <w:pPr>
        <w:pStyle w:val="BodyTextIndent2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Indent2"/>
        <w:rPr/>
      </w:pPr>
      <w:r>
        <w:rPr>
          <w:sz w:val="24"/>
          <w:szCs w:val="24"/>
        </w:rPr>
        <w:t>(3)Az átruházott hatáskörben történt átcsoportosításokról az érdekeltek negyedévente negyedévet követő első képviselő-testületi ülésen kötelesek beszámolni. A költségvetési rendelet módosítására a polgármester ezzel egyidejűleg javaslatot tesz.</w:t>
      </w:r>
    </w:p>
    <w:p>
      <w:pPr>
        <w:pStyle w:val="BodyTextIndent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Indent2"/>
        <w:rPr/>
      </w:pPr>
      <w:r>
        <w:rPr>
          <w:sz w:val="24"/>
          <w:szCs w:val="24"/>
        </w:rPr>
        <w:t>(4) Az általános tartalék előirányzaton belül a költségvetési évet tekintve összesen 500.000 Ft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felhasználását a képviselő-testület – a teljesülést követően negyedévenkénti beszámolási kötelezettséggel – a polgármester hatáskörébe utalja.</w:t>
      </w:r>
    </w:p>
    <w:p>
      <w:pPr>
        <w:pStyle w:val="Normal"/>
        <w:ind w:left="360" w:hanging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/>
      </w:pPr>
      <w:r>
        <w:rPr>
          <w:b/>
          <w:bCs/>
          <w:sz w:val="24"/>
          <w:szCs w:val="24"/>
        </w:rPr>
        <w:t>11. §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Indent2"/>
        <w:ind w:left="0" w:hanging="0"/>
        <w:rPr/>
      </w:pPr>
      <w:r>
        <w:rPr>
          <w:sz w:val="24"/>
          <w:szCs w:val="24"/>
        </w:rPr>
        <w:t>(1) A Hivatal éves költségvetésének végrehajtásáért, a gazdálkodás jogszerűségéért, a takarékosság érvényesítéséért, a bevételek növeléséért az alapfeladatok sérelme nélkül a jegyző a felelős.</w:t>
      </w:r>
    </w:p>
    <w:p>
      <w:pPr>
        <w:pStyle w:val="Normal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sz w:val="24"/>
          <w:szCs w:val="24"/>
        </w:rPr>
        <w:t xml:space="preserve">(2) A Hivatal éves költségvetését a megállapított önkormányzati támogatás és saját bevételei terhére úgy köteles megtervezni, hogy abból biztosított legyen az éves gazdálkodás, illetve kötelezően ellátandó feladatait maradéktalanul teljesíteni tudja. </w:t>
      </w:r>
    </w:p>
    <w:p>
      <w:pPr>
        <w:pStyle w:val="Normal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b/>
          <w:bCs/>
          <w:sz w:val="24"/>
          <w:szCs w:val="24"/>
        </w:rPr>
        <w:t>12. §.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Indent3"/>
        <w:ind w:left="0" w:hanging="0"/>
        <w:rPr/>
      </w:pPr>
      <w:r>
        <w:rPr>
          <w:sz w:val="24"/>
          <w:szCs w:val="24"/>
        </w:rPr>
        <w:t>(1) Az év közben engedélyezett központi pótelőirányzatok felosztásáról - ha az érdemi döntést igényel - a testület dönt a polgármester előterjesztésére, szükség esetén a költségvetési rendelet egyidejű módosításával.</w:t>
      </w:r>
    </w:p>
    <w:p>
      <w:pPr>
        <w:pStyle w:val="Normal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Indent2"/>
        <w:ind w:lef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Indent2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Indent2"/>
        <w:ind w:left="0" w:hanging="0"/>
        <w:rPr/>
      </w:pPr>
      <w:r>
        <w:rPr>
          <w:sz w:val="24"/>
          <w:szCs w:val="24"/>
        </w:rPr>
        <w:t>(2) Az (1) bekezdésben nem szereplő központi pótelőirányzatok felosztásáról és a Hivatal saját hatáskörben kezdeményezett rendelet módosításáról a képviselő testület az (1) bekezdésben foglalt módon dönt.</w:t>
      </w:r>
    </w:p>
    <w:p>
      <w:pPr>
        <w:pStyle w:val="Normal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/>
      </w:pPr>
      <w:r>
        <w:rPr>
          <w:b/>
          <w:bCs/>
          <w:sz w:val="24"/>
          <w:szCs w:val="24"/>
        </w:rPr>
        <w:t>A költségvetési szerv előirányzat-módosításának szabályai</w:t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/>
      </w:pPr>
      <w:r>
        <w:rPr>
          <w:b/>
          <w:bCs/>
          <w:sz w:val="24"/>
          <w:szCs w:val="24"/>
        </w:rPr>
        <w:t>13. §</w:t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/>
      </w:pPr>
      <w:r>
        <w:rPr>
          <w:sz w:val="24"/>
          <w:szCs w:val="24"/>
        </w:rPr>
        <w:t xml:space="preserve">(1) Az önkormányzat és a költségvetési szerv bevételi és kiadási előirányzatai év közben megváltoztathatók az előirányzat módosításával. Az előirányzatok megváltoztatása e költségvetési rendeletben meghatározottak szerint történik.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sz w:val="24"/>
          <w:szCs w:val="24"/>
        </w:rPr>
        <w:t xml:space="preserve">(2) A költségvetési szerv saját hatáskörű előirányzat módosítást csak abban az esetben hajthat végre, ha a személyi juttatások és/vagy a munkaadót terhelő járulék előirányzatból dologi kiadásokra csoportosít át. Az átcsoportosítást a képviselő-testület rendelet-módosításban hagyja jóvá. </w:t>
      </w:r>
    </w:p>
    <w:p>
      <w:pPr>
        <w:pStyle w:val="Normal"/>
        <w:tabs>
          <w:tab w:val="clear" w:pos="708"/>
          <w:tab w:val="left" w:pos="170" w:leader="none"/>
          <w:tab w:val="left" w:pos="360" w:leader="none"/>
          <w:tab w:val="left" w:pos="426" w:leader="none"/>
          <w:tab w:val="decimal" w:pos="2981" w:leader="none"/>
        </w:tabs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sz w:val="24"/>
          <w:szCs w:val="24"/>
        </w:rPr>
        <w:t xml:space="preserve">(3) A költségvetési szervek a jóváhagyott bevételi előirányzataikon felüli többletbevételeiket a költségvetési rendeletbe történő átvezetése, annak módosítása után használhatják fel.  </w:t>
      </w:r>
    </w:p>
    <w:p>
      <w:pPr>
        <w:pStyle w:val="Normal"/>
        <w:tabs>
          <w:tab w:val="clear" w:pos="708"/>
          <w:tab w:val="decimal" w:pos="283" w:leader="none"/>
          <w:tab w:val="left" w:pos="360" w:leader="none"/>
          <w:tab w:val="left" w:pos="426" w:leader="none"/>
          <w:tab w:val="decimal" w:pos="2981" w:leader="none"/>
        </w:tabs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zvegtrzsbehzsa"/>
        <w:ind w:left="0" w:hanging="0"/>
        <w:rPr/>
      </w:pPr>
      <w:r>
        <w:rPr>
          <w:sz w:val="24"/>
          <w:szCs w:val="24"/>
        </w:rPr>
        <w:t>(4) A jóváhagyott kiemelt előirányzatokon belül az átcsoportosításról a költségvetési szerv vezetője saját hatáskörben dönt.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sz w:val="24"/>
          <w:szCs w:val="24"/>
        </w:rPr>
        <w:t>(5) A költségvetési szerv a saját hatáskörű előirányzat módosításokról az irányító szervét félévenként tájékoztatja.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sz w:val="24"/>
          <w:szCs w:val="24"/>
        </w:rPr>
        <w:t>(6) Az Államháztartásról szóló 2011. évi CXCV. törvény 34 § (2) bekezdése alapján a képviselő-testület felhatalmazza a polgármestert feladatonként nettó 15 millió forint értékhatárig az önkormányzat bevételeinek és kiadásainak módosítására, és a kiadási előirányzatok közötti átcsoportosításra. A módosítást a költségvetési rendelet módosítása során át kell vezetni.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sz w:val="24"/>
          <w:szCs w:val="24"/>
        </w:rPr>
        <w:t>(7) Év közben az önkormányzat számára meghatározott kötött felhasználású pótelőirányzat felhasználásáról a polgármester dönt. Az előirányzat módosítást a költségvetési rendelet módosításakor át kell vezetni.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b/>
          <w:bCs/>
          <w:sz w:val="24"/>
          <w:szCs w:val="24"/>
        </w:rPr>
        <w:t>Létszám- és bérgazdálkodással kapcsolatos előírások</w:t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/>
      </w:pPr>
      <w:r>
        <w:rPr>
          <w:b/>
          <w:bCs/>
          <w:sz w:val="24"/>
          <w:szCs w:val="24"/>
        </w:rPr>
        <w:t>14. §</w:t>
      </w:r>
    </w:p>
    <w:p>
      <w:pPr>
        <w:pStyle w:val="Normal"/>
        <w:jc w:val="both"/>
        <w:rPr>
          <w:b/>
          <w:b/>
          <w:bCs/>
          <w:color w:val="FF00FF"/>
          <w:sz w:val="24"/>
          <w:szCs w:val="24"/>
        </w:rPr>
      </w:pPr>
      <w:r>
        <w:rPr>
          <w:b/>
          <w:bCs/>
          <w:color w:val="FF00FF"/>
          <w:sz w:val="24"/>
          <w:szCs w:val="24"/>
        </w:rPr>
      </w:r>
    </w:p>
    <w:p>
      <w:pPr>
        <w:pStyle w:val="Normal"/>
        <w:jc w:val="both"/>
        <w:rPr/>
      </w:pPr>
      <w:r>
        <w:rPr>
          <w:sz w:val="24"/>
          <w:szCs w:val="24"/>
        </w:rPr>
        <w:t>(1) A polgármester önálló létszám- és bérgazdálkodási jogkörében eljárva az engedélyezett létszám (álláshely)-keretet a tényleges foglalkoztatás során köteles betartani.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sz w:val="24"/>
          <w:szCs w:val="24"/>
        </w:rPr>
        <w:t>(2) Az egyes foglalkoztatási formákra (teljes munkaidős, részmunkaidős, valamint a megbízási, tiszteletdíjas foglalkoztatás) álláshelyenként, illetve összességében az elemi költségvetésben tervezett (módosított személyi juttatás) előirányzatot nem lépheti túl.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  <w:sz w:val="24"/>
          <w:szCs w:val="24"/>
        </w:rPr>
        <w:t>Támogatási szerződés</w:t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/>
      </w:pPr>
      <w:r>
        <w:rPr>
          <w:b/>
          <w:bCs/>
          <w:sz w:val="24"/>
          <w:szCs w:val="24"/>
        </w:rPr>
        <w:t>15. §.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Az </w:t>
      </w:r>
      <w:r>
        <w:rPr>
          <w:b/>
          <w:bCs/>
          <w:sz w:val="24"/>
          <w:szCs w:val="24"/>
        </w:rPr>
        <w:t xml:space="preserve">államháztartáson kívülre nyújtott </w:t>
      </w:r>
      <w:r>
        <w:rPr>
          <w:sz w:val="24"/>
          <w:szCs w:val="24"/>
        </w:rPr>
        <w:t xml:space="preserve">támogatások esetében a 4/2018. (III.08.) önkormányzati rendel szerint kell eljárni. 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b/>
          <w:bCs/>
          <w:sz w:val="24"/>
          <w:szCs w:val="24"/>
        </w:rPr>
        <w:t>16. §.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sz w:val="24"/>
          <w:szCs w:val="24"/>
        </w:rPr>
        <w:t xml:space="preserve">Az önállóan működő és gazdálkodó költségvetési szerv költségvetési támogatását a képviselő-testület a költségvetési szervek pénzellátási rendje szerint biztosítja. </w:t>
      </w:r>
    </w:p>
    <w:p>
      <w:pPr>
        <w:pStyle w:val="Normal"/>
        <w:jc w:val="both"/>
        <w:rPr/>
      </w:pPr>
      <w:r>
        <w:rPr>
          <w:sz w:val="24"/>
          <w:szCs w:val="24"/>
        </w:rPr>
        <w:t>Az egyéb szervezetek részére nyújtott támogatások évi két egyenlő részletekben kerüljenek kiutalásra.</w:t>
      </w:r>
    </w:p>
    <w:p>
      <w:pPr>
        <w:pStyle w:val="Normal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/>
      </w:pPr>
      <w:r>
        <w:rPr>
          <w:b/>
          <w:bCs/>
          <w:sz w:val="24"/>
          <w:szCs w:val="24"/>
        </w:rPr>
        <w:t>Szolgáltatási szerződés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b/>
          <w:bCs/>
          <w:sz w:val="24"/>
          <w:szCs w:val="24"/>
        </w:rPr>
        <w:t>17. §.</w:t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/>
      </w:pPr>
      <w:r>
        <w:rPr>
          <w:sz w:val="24"/>
          <w:szCs w:val="24"/>
        </w:rPr>
        <w:t xml:space="preserve">A Hivatal szakmai alapfeladat keretében szellemi tevékenység szolgáltatási szerződéssel, számla ellenében történő igénybevételének szabályai: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sz w:val="24"/>
          <w:szCs w:val="24"/>
        </w:rPr>
        <w:t>(1) Az önkormányzat által felügyelt költségvetési szervnél, szakmai alapfeladat keretében szellemi tevékenység végzésére szolgáltatási szerződéssel, számla ellenében külső személy vagy szervezet az e §-ban meghatározott feltételekkel vehető igénybe.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sz w:val="24"/>
          <w:szCs w:val="24"/>
        </w:rPr>
        <w:t>(2) A szolgáltatási szerződést írásban kell megkötni.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sz w:val="24"/>
          <w:szCs w:val="24"/>
        </w:rPr>
        <w:t>(3) A szerződéskötés feltétele, hogy</w:t>
      </w:r>
    </w:p>
    <w:p>
      <w:pPr>
        <w:pStyle w:val="Normal"/>
        <w:ind w:left="709" w:hanging="33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09" w:hanging="334"/>
        <w:jc w:val="both"/>
        <w:rPr/>
      </w:pPr>
      <w:r>
        <w:rPr>
          <w:sz w:val="24"/>
          <w:szCs w:val="24"/>
        </w:rPr>
        <w:t>a.) a költségvetési szerv az adott feladat ellátáshoz megfelelő szakértelemmel rendelkező személyt nem foglalkoztat, vagy</w:t>
      </w:r>
    </w:p>
    <w:p>
      <w:pPr>
        <w:pStyle w:val="Normal"/>
        <w:ind w:left="709" w:hanging="334"/>
        <w:jc w:val="both"/>
        <w:rPr/>
      </w:pPr>
      <w:r>
        <w:rPr>
          <w:sz w:val="24"/>
          <w:szCs w:val="24"/>
        </w:rPr>
        <w:t>b.) eseti, nem rendszeres jellegű feladat ellátása szükséges és a költségvetési szerven belül a feladat ellátásához megfelelő szakértelemmel rendelkező személy átmenetileg nem áll rendelkezésre.</w:t>
      </w:r>
    </w:p>
    <w:p>
      <w:pPr>
        <w:pStyle w:val="Normal"/>
        <w:ind w:left="709" w:hanging="33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6"/>
        </w:numPr>
        <w:jc w:val="both"/>
        <w:rPr/>
      </w:pPr>
      <w:r>
        <w:rPr>
          <w:sz w:val="24"/>
          <w:szCs w:val="24"/>
        </w:rPr>
        <w:t>Jogszabályban vagy a költségvetési szerv szervezeti és működési szabályzatában meghatározott vezetői feladat ellátására szolgáltatási szerződés nem köthető.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sz w:val="24"/>
          <w:szCs w:val="24"/>
        </w:rPr>
        <w:t>(4) A feladat ellátásának – a fenntartóval egyeztetett - részletes feltételeit, az ellátható feladatokat a költségvetési szerv szervezeti és működési szabályzatban határozza meg.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sz w:val="24"/>
          <w:szCs w:val="24"/>
        </w:rPr>
        <w:t>(5) A szerződésnek tartalmaznia kell különösen:</w:t>
      </w:r>
    </w:p>
    <w:p>
      <w:pPr>
        <w:pStyle w:val="Normal"/>
        <w:ind w:left="375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375" w:hanging="0"/>
        <w:jc w:val="both"/>
        <w:rPr/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a.) az ellátandó feladatot,</w:t>
      </w:r>
    </w:p>
    <w:p>
      <w:pPr>
        <w:pStyle w:val="Normal"/>
        <w:ind w:left="375" w:hanging="0"/>
        <w:jc w:val="both"/>
        <w:rPr/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b.) a díjazás mértékét,</w:t>
      </w:r>
    </w:p>
    <w:p>
      <w:pPr>
        <w:pStyle w:val="Normal"/>
        <w:ind w:left="709" w:hanging="709"/>
        <w:jc w:val="both"/>
        <w:rPr/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>c.) részletes utalást arra, hogy a (3) bekezdésben írt feltétel mely körülményre tekintettel áll fenn,</w:t>
      </w:r>
    </w:p>
    <w:p>
      <w:pPr>
        <w:pStyle w:val="Normal"/>
        <w:ind w:left="709" w:hanging="283"/>
        <w:jc w:val="both"/>
        <w:rPr/>
      </w:pPr>
      <w:r>
        <w:rPr>
          <w:sz w:val="24"/>
          <w:szCs w:val="24"/>
        </w:rPr>
        <w:t>d.) a szerződés időtartamát,</w:t>
      </w:r>
    </w:p>
    <w:p>
      <w:pPr>
        <w:pStyle w:val="Normal"/>
        <w:ind w:left="709" w:hanging="283"/>
        <w:jc w:val="both"/>
        <w:rPr/>
      </w:pPr>
      <w:r>
        <w:rPr>
          <w:sz w:val="24"/>
          <w:szCs w:val="24"/>
        </w:rPr>
        <w:t>e.) szervezettel kötendő szerződés esetén azt, hogy a szervezet részéről személy szerint ki(k) köteles(ek) a feladat ellátására, valamint,</w:t>
      </w:r>
    </w:p>
    <w:p>
      <w:pPr>
        <w:pStyle w:val="Normal"/>
        <w:ind w:left="709" w:hanging="283"/>
        <w:jc w:val="both"/>
        <w:rPr/>
      </w:pPr>
      <w:r>
        <w:rPr>
          <w:sz w:val="24"/>
          <w:szCs w:val="24"/>
        </w:rPr>
        <w:t>f.) a teljesítés igazolására felhatalmazott személy megnevezését.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  <w:sz w:val="24"/>
          <w:szCs w:val="24"/>
        </w:rPr>
        <w:t>Önkormányzati biztos kirendelése</w:t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/>
      </w:pPr>
      <w:r>
        <w:rPr>
          <w:b/>
          <w:bCs/>
          <w:sz w:val="24"/>
          <w:szCs w:val="24"/>
        </w:rPr>
        <w:t>18. §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sz w:val="24"/>
          <w:szCs w:val="24"/>
        </w:rPr>
        <w:t xml:space="preserve">(1) Ha a helyi önkormányzati költségvetési szerv 30 napon túli, elismert tartozásállományának mértéke eléri az éves eredeti kiadási előirányzatának 10%-át, vagy egyébként a 150 millió forintot, és e tartozását egy hónapon belül nem tudja 30 nap alá szorítani, akkor </w:t>
      </w:r>
      <w:r>
        <w:rPr>
          <w:color w:val="000000"/>
          <w:sz w:val="24"/>
          <w:szCs w:val="24"/>
        </w:rPr>
        <w:t>a képviselő-testület</w:t>
      </w:r>
      <w:r>
        <w:rPr>
          <w:sz w:val="24"/>
          <w:szCs w:val="24"/>
        </w:rPr>
        <w:t xml:space="preserve"> a költségvetési szervnél </w:t>
      </w:r>
      <w:r>
        <w:rPr>
          <w:color w:val="000000"/>
          <w:sz w:val="24"/>
          <w:szCs w:val="24"/>
        </w:rPr>
        <w:t>az Áht. 71. §. (2) és (3) bekezdésében</w:t>
      </w:r>
      <w:r>
        <w:rPr>
          <w:sz w:val="24"/>
          <w:szCs w:val="24"/>
        </w:rPr>
        <w:t xml:space="preserve"> foglalt hatáskörrel rendelkező önkormányzati biztost jelöl ki. </w:t>
      </w:r>
    </w:p>
    <w:p>
      <w:pPr>
        <w:pStyle w:val="Normal"/>
        <w:ind w:left="36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sz w:val="24"/>
          <w:szCs w:val="24"/>
        </w:rPr>
        <w:t>(2) Az önkormányzati biztos kirendelését az (1) bekezdésben meghatározott mértékű elismert tartozásállomány elérése esetén a képviselő-testületnél a polgármester kezdeményezi.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sz w:val="24"/>
          <w:szCs w:val="24"/>
        </w:rPr>
        <w:t>(3) Ha a polgármester a kötelezettségének nem tesz eleget, a biztos kirendelését indítványozhatja</w:t>
      </w:r>
    </w:p>
    <w:p>
      <w:pPr>
        <w:pStyle w:val="Normal"/>
        <w:ind w:firstLine="204"/>
        <w:jc w:val="both"/>
        <w:rPr/>
      </w:pPr>
      <w:r>
        <w:rPr>
          <w:i/>
          <w:iCs/>
          <w:sz w:val="24"/>
          <w:szCs w:val="24"/>
        </w:rPr>
        <w:t xml:space="preserve">a) </w:t>
      </w:r>
      <w:r>
        <w:rPr>
          <w:sz w:val="24"/>
          <w:szCs w:val="24"/>
        </w:rPr>
        <w:t>a helyi önkormányzat jegyzője a polgármesteren keresztül,</w:t>
      </w:r>
    </w:p>
    <w:p>
      <w:pPr>
        <w:pStyle w:val="Normal"/>
        <w:ind w:firstLine="204"/>
        <w:jc w:val="both"/>
        <w:rPr/>
      </w:pPr>
      <w:r>
        <w:rPr>
          <w:i/>
          <w:iCs/>
          <w:sz w:val="24"/>
          <w:szCs w:val="24"/>
        </w:rPr>
        <w:t xml:space="preserve">b) </w:t>
      </w:r>
      <w:r>
        <w:rPr>
          <w:sz w:val="24"/>
          <w:szCs w:val="24"/>
        </w:rPr>
        <w:t>a helyi önkormányzat képviselő-testülete által megbízott könyvvizsgáló,</w:t>
      </w:r>
    </w:p>
    <w:p>
      <w:pPr>
        <w:pStyle w:val="Normal"/>
        <w:ind w:firstLine="204"/>
        <w:jc w:val="both"/>
        <w:rPr/>
      </w:pPr>
      <w:r>
        <w:rPr>
          <w:i/>
          <w:iCs/>
          <w:sz w:val="24"/>
          <w:szCs w:val="24"/>
        </w:rPr>
        <w:t xml:space="preserve">c) </w:t>
      </w:r>
      <w:r>
        <w:rPr>
          <w:sz w:val="24"/>
          <w:szCs w:val="24"/>
        </w:rPr>
        <w:t>a költségvetési szerv vezetője.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sz w:val="24"/>
          <w:szCs w:val="24"/>
        </w:rPr>
        <w:t>(4) Az önkormányzati biztost a jelölhető személyek, illetve szervezetek közül a képviselő-testület döntése alapján a polgármester bízza meg, és ennek tényét a helyben szokásos módon teszi közzé.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sz w:val="24"/>
          <w:szCs w:val="24"/>
        </w:rPr>
        <w:t>(5) Amennyiben az önkormányzatnál időközben adósságrendezési eljárást kezdeményeztek az általa fenntartott költségvetési szervek körében, az önkormányzati biztos további tevékenységére az alábbi szabályok alkalmazandók:</w:t>
      </w:r>
    </w:p>
    <w:p>
      <w:pPr>
        <w:pStyle w:val="Szvegtrzsbehzsa"/>
        <w:ind w:left="0" w:firstLine="42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zvegtrzsbehzsa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zvegtrzsbehzsa"/>
        <w:ind w:left="0" w:firstLine="426"/>
        <w:rPr/>
      </w:pPr>
      <w:r>
        <w:rPr>
          <w:sz w:val="24"/>
          <w:szCs w:val="24"/>
        </w:rPr>
        <w:t>a.) az önkormányzati biztos tevékenységéről a képviselő-testületnek havonta köteles beszámolni,</w:t>
      </w:r>
    </w:p>
    <w:p>
      <w:pPr>
        <w:pStyle w:val="Szvegtrzsbehzsa"/>
        <w:ind w:left="0" w:firstLine="426"/>
        <w:rPr/>
      </w:pPr>
      <w:r>
        <w:rPr>
          <w:sz w:val="24"/>
          <w:szCs w:val="24"/>
        </w:rPr>
        <w:t>b.) az önkormányzati biztos haladéktalanul köteles tájékoztatni a polgármestert, ha a költségvetési szervvel szemben adósságrendezési eljárást kezdeményeztek.  </w:t>
      </w:r>
    </w:p>
    <w:p>
      <w:pPr>
        <w:pStyle w:val="Normal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br w:type="page"/>
      </w:r>
    </w:p>
    <w:p>
      <w:pPr>
        <w:pStyle w:val="Szvegtrzsbehzsa"/>
        <w:ind w:left="0" w:firstLine="42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b/>
          <w:bCs/>
          <w:sz w:val="24"/>
          <w:szCs w:val="24"/>
        </w:rPr>
        <w:t>Pótköltségvetés, költségvetés módosítása</w:t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/>
      </w:pPr>
      <w:r>
        <w:rPr>
          <w:b/>
          <w:bCs/>
          <w:sz w:val="24"/>
          <w:szCs w:val="24"/>
        </w:rPr>
        <w:t>19. §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sz w:val="24"/>
          <w:szCs w:val="24"/>
        </w:rPr>
        <w:t>(1) A költségvetés várható egyenlegének a költségvetés kiadási főösszegének 10 %-át meghaladó mértékű eltérése esetén a költségvetési rendeletet módosítani kell.</w:t>
      </w:r>
    </w:p>
    <w:p>
      <w:pPr>
        <w:pStyle w:val="Normal"/>
        <w:jc w:val="both"/>
        <w:rPr/>
      </w:pPr>
      <w:r>
        <w:rPr>
          <w:sz w:val="24"/>
          <w:szCs w:val="24"/>
        </w:rPr>
        <w:t>(2) A költségvetés várható egyenlegének a költségvetés kiadási főösszegének 30 %-át meghaladó mértékű eltérése esetén pótköltségvetési rendeletet kell elfogadni. A pótköltségvetési rendeletnek újból meg kell állapítania a költségvetési rendeletnek az előirányzatok meghatározására vonatkozó rendelkezéseit.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/>
      </w:pPr>
      <w:r>
        <w:rPr>
          <w:b/>
          <w:bCs/>
          <w:sz w:val="24"/>
          <w:szCs w:val="24"/>
        </w:rPr>
        <w:t>Záró és egyéb rendelkezések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b/>
          <w:bCs/>
          <w:sz w:val="24"/>
          <w:szCs w:val="24"/>
        </w:rPr>
        <w:t>20. §.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sz w:val="24"/>
          <w:szCs w:val="24"/>
        </w:rPr>
        <w:t>(1) A képviselő-testület a polgármesternek e rendelet elfogadásáig az átmeneti időszakban tett intézkedéseiről (bevételek beszedése, az előző évi kiadási előirányzatokon belül a kiadások arányos teljesítése) szóló beszámolóját elfogadja. Az átmeneti időszakban beszedett bevételek és teljesített kiadások e rendeletbe beépítésre kerültek.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sz w:val="24"/>
          <w:szCs w:val="24"/>
        </w:rPr>
        <w:t xml:space="preserve">(2) Ez a rendelet a kihirdetését követő napon lép hatályba.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tabs>
          <w:tab w:val="clear" w:pos="2268"/>
        </w:tabs>
        <w:rPr/>
      </w:pPr>
      <w:r>
        <w:rPr>
          <w:b w:val="false"/>
          <w:bCs w:val="false"/>
          <w:sz w:val="24"/>
          <w:szCs w:val="24"/>
        </w:rPr>
        <w:t xml:space="preserve">Kőkút, 2021. március </w:t>
      </w:r>
      <w:r>
        <w:rPr>
          <w:b w:val="false"/>
          <w:bCs w:val="false"/>
          <w:sz w:val="24"/>
          <w:szCs w:val="24"/>
        </w:rPr>
        <w:t>12</w:t>
      </w:r>
      <w:r>
        <w:rPr>
          <w:b w:val="false"/>
          <w:bCs w:val="false"/>
          <w:sz w:val="24"/>
          <w:szCs w:val="24"/>
        </w:rPr>
        <w:t>.</w:t>
      </w:r>
    </w:p>
    <w:p>
      <w:pPr>
        <w:pStyle w:val="BodyText3"/>
        <w:tabs>
          <w:tab w:val="clear" w:pos="2268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tabs>
          <w:tab w:val="clear" w:pos="2268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tabs>
          <w:tab w:val="clear" w:pos="2268"/>
        </w:tabs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BodyText3"/>
        <w:tabs>
          <w:tab w:val="clear" w:pos="2268"/>
        </w:tabs>
        <w:rPr/>
      </w:pPr>
      <w:r>
        <w:rPr>
          <w:b w:val="false"/>
          <w:bCs w:val="false"/>
          <w:sz w:val="24"/>
          <w:szCs w:val="24"/>
        </w:rPr>
        <w:t xml:space="preserve">Boros Anikó Julianna </w:t>
        <w:tab/>
        <w:tab/>
        <w:tab/>
        <w:tab/>
        <w:tab/>
        <w:t xml:space="preserve">    Dr. Barka Tamás </w:t>
      </w:r>
    </w:p>
    <w:p>
      <w:pPr>
        <w:pStyle w:val="BodyText3"/>
        <w:tabs>
          <w:tab w:val="clear" w:pos="2268"/>
        </w:tabs>
        <w:rPr/>
      </w:pPr>
      <w:r>
        <w:rPr>
          <w:b w:val="false"/>
          <w:bCs w:val="false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polgármester</w:t>
        <w:tab/>
        <w:t xml:space="preserve">                                                        </w:t>
        <w:tab/>
        <w:tab/>
        <w:t xml:space="preserve">    </w:t>
        <w:tab/>
        <w:t>jegyző</w:t>
        <w:tab/>
      </w:r>
    </w:p>
    <w:p>
      <w:pPr>
        <w:pStyle w:val="BodyText3"/>
        <w:tabs>
          <w:tab w:val="clear" w:pos="2268"/>
        </w:tabs>
        <w:ind w:left="1418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tabs>
          <w:tab w:val="clear" w:pos="2268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tabs>
          <w:tab w:val="clear" w:pos="2268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tabs>
          <w:tab w:val="clear" w:pos="2268"/>
        </w:tabs>
        <w:rPr/>
      </w:pPr>
      <w:r>
        <w:rPr>
          <w:sz w:val="24"/>
          <w:szCs w:val="24"/>
        </w:rPr>
        <w:t>Kihirdetési záradék: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A rendelet kihirdetve: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2021. március </w:t>
      </w:r>
      <w:r>
        <w:rPr>
          <w:rFonts w:cs="Times New Roman" w:ascii="Times New Roman" w:hAnsi="Times New Roman"/>
          <w:sz w:val="24"/>
          <w:szCs w:val="24"/>
        </w:rPr>
        <w:t>12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bookmarkStart w:id="2" w:name="_GoBack1"/>
      <w:bookmarkStart w:id="3" w:name="_GoBack1"/>
      <w:bookmarkEnd w:id="3"/>
    </w:p>
    <w:p>
      <w:pPr>
        <w:pStyle w:val="NoSpacing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Dr. Barka Tamás</w:t>
      </w:r>
    </w:p>
    <w:p>
      <w:pPr>
        <w:pStyle w:val="NoSpacing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jegyző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7"/>
      <w:numFmt w:val="bullet"/>
      <w:lvlText w:val="-"/>
      <w:lvlJc w:val="left"/>
      <w:pPr>
        <w:tabs>
          <w:tab w:val="num" w:pos="0"/>
        </w:tabs>
        <w:ind w:left="177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3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3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hu-HU" w:eastAsia="hu-H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f54e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hu-HU" w:eastAsia="hu-H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zvegtrzsbehzssalChar" w:customStyle="1">
    <w:name w:val="Szövegtörzs behúzással Char"/>
    <w:link w:val="Szvegtrzsbehzssal"/>
    <w:uiPriority w:val="99"/>
    <w:qFormat/>
    <w:locked/>
    <w:rsid w:val="004f54ef"/>
    <w:rPr>
      <w:rFonts w:ascii="Times New Roman" w:hAnsi="Times New Roman" w:cs="Times New Roman"/>
      <w:sz w:val="20"/>
      <w:szCs w:val="20"/>
      <w:lang w:eastAsia="hu-HU"/>
    </w:rPr>
  </w:style>
  <w:style w:type="character" w:styleId="Szvegtrzsbehzssal2Char" w:customStyle="1">
    <w:name w:val="Szövegtörzs behúzással 2 Char"/>
    <w:link w:val="Szvegtrzsbehzssal2"/>
    <w:uiPriority w:val="99"/>
    <w:qFormat/>
    <w:locked/>
    <w:rsid w:val="004f54ef"/>
    <w:rPr>
      <w:rFonts w:ascii="Times New Roman" w:hAnsi="Times New Roman" w:cs="Times New Roman"/>
      <w:sz w:val="20"/>
      <w:szCs w:val="20"/>
      <w:lang w:eastAsia="hu-HU"/>
    </w:rPr>
  </w:style>
  <w:style w:type="character" w:styleId="Szvegtrzsbehzssal3Char" w:customStyle="1">
    <w:name w:val="Szövegtörzs behúzással 3 Char"/>
    <w:link w:val="Szvegtrzsbehzssal3"/>
    <w:uiPriority w:val="99"/>
    <w:qFormat/>
    <w:locked/>
    <w:rsid w:val="004f54ef"/>
    <w:rPr>
      <w:rFonts w:ascii="Times New Roman" w:hAnsi="Times New Roman" w:cs="Times New Roman"/>
      <w:sz w:val="20"/>
      <w:szCs w:val="20"/>
      <w:lang w:eastAsia="hu-HU"/>
    </w:rPr>
  </w:style>
  <w:style w:type="character" w:styleId="Szvegtrzs3Char" w:customStyle="1">
    <w:name w:val="Szövegtörzs 3 Char"/>
    <w:link w:val="Szvegtrzs3"/>
    <w:uiPriority w:val="99"/>
    <w:qFormat/>
    <w:locked/>
    <w:rsid w:val="004f54ef"/>
    <w:rPr>
      <w:rFonts w:ascii="Times New Roman" w:hAnsi="Times New Roman" w:cs="Times New Roman"/>
      <w:b/>
      <w:bCs/>
      <w:sz w:val="20"/>
      <w:szCs w:val="20"/>
      <w:lang w:eastAsia="hu-HU"/>
    </w:rPr>
  </w:style>
  <w:style w:type="character" w:styleId="BuborkszvegChar" w:customStyle="1">
    <w:name w:val="Buborékszöveg Char"/>
    <w:link w:val="Buborkszveg"/>
    <w:uiPriority w:val="99"/>
    <w:semiHidden/>
    <w:qFormat/>
    <w:locked/>
    <w:rsid w:val="004f54ef"/>
    <w:rPr>
      <w:rFonts w:ascii="Tahoma" w:hAnsi="Tahoma" w:cs="Tahoma"/>
      <w:sz w:val="16"/>
      <w:szCs w:val="16"/>
      <w:lang w:eastAsia="hu-HU"/>
    </w:rPr>
  </w:style>
  <w:style w:type="paragraph" w:styleId="Cmsor" w:customStyle="1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Szvegtrzs"/>
    <w:pPr/>
    <w:rPr>
      <w:rFonts w:cs="Mangal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 w:customStyle="1">
    <w:name w:val="Tárgymutató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Spacing">
    <w:name w:val="No Spacing"/>
    <w:uiPriority w:val="99"/>
    <w:qFormat/>
    <w:rsid w:val="00cf1003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hu-HU" w:eastAsia="en-US" w:bidi="ar-SA"/>
    </w:rPr>
  </w:style>
  <w:style w:type="paragraph" w:styleId="Szvegtrzsbehzsa">
    <w:name w:val="Body Text Indent"/>
    <w:basedOn w:val="Normal"/>
    <w:link w:val="SzvegtrzsbehzssalChar"/>
    <w:uiPriority w:val="99"/>
    <w:rsid w:val="004f54ef"/>
    <w:pPr>
      <w:ind w:left="709" w:hanging="567"/>
      <w:jc w:val="both"/>
    </w:pPr>
    <w:rPr>
      <w:rFonts w:eastAsia="Calibri"/>
    </w:rPr>
  </w:style>
  <w:style w:type="paragraph" w:styleId="BodyTextIndent2">
    <w:name w:val="Body Text Indent 2"/>
    <w:basedOn w:val="Normal"/>
    <w:link w:val="Szvegtrzsbehzssal2Char"/>
    <w:uiPriority w:val="99"/>
    <w:qFormat/>
    <w:rsid w:val="004f54ef"/>
    <w:pPr>
      <w:ind w:left="426" w:hanging="426"/>
      <w:jc w:val="both"/>
    </w:pPr>
    <w:rPr>
      <w:rFonts w:eastAsia="Calibri"/>
    </w:rPr>
  </w:style>
  <w:style w:type="paragraph" w:styleId="BodyTextIndent3">
    <w:name w:val="Body Text Indent 3"/>
    <w:basedOn w:val="Normal"/>
    <w:link w:val="Szvegtrzsbehzssal3Char"/>
    <w:uiPriority w:val="99"/>
    <w:qFormat/>
    <w:rsid w:val="004f54ef"/>
    <w:pPr>
      <w:ind w:left="142" w:hanging="142"/>
      <w:jc w:val="both"/>
    </w:pPr>
    <w:rPr>
      <w:rFonts w:eastAsia="Calibri"/>
    </w:rPr>
  </w:style>
  <w:style w:type="paragraph" w:styleId="BodyText3">
    <w:name w:val="Body Text 3"/>
    <w:basedOn w:val="Normal"/>
    <w:link w:val="Szvegtrzs3Char"/>
    <w:uiPriority w:val="99"/>
    <w:qFormat/>
    <w:rsid w:val="004f54ef"/>
    <w:pPr>
      <w:tabs>
        <w:tab w:val="clear" w:pos="708"/>
        <w:tab w:val="left" w:pos="2268" w:leader="none"/>
      </w:tabs>
      <w:jc w:val="both"/>
    </w:pPr>
    <w:rPr>
      <w:rFonts w:eastAsia="Calibri"/>
      <w:b/>
      <w:bCs/>
    </w:rPr>
  </w:style>
  <w:style w:type="paragraph" w:styleId="ListParagraph">
    <w:name w:val="List Paragraph"/>
    <w:basedOn w:val="Normal"/>
    <w:uiPriority w:val="99"/>
    <w:qFormat/>
    <w:rsid w:val="004f54ef"/>
    <w:pPr>
      <w:ind w:left="720" w:hanging="0"/>
    </w:pPr>
    <w:rPr/>
  </w:style>
  <w:style w:type="paragraph" w:styleId="BalloonText">
    <w:name w:val="Balloon Text"/>
    <w:basedOn w:val="Normal"/>
    <w:link w:val="BuborkszvegChar"/>
    <w:uiPriority w:val="99"/>
    <w:semiHidden/>
    <w:qFormat/>
    <w:rsid w:val="004f54ef"/>
    <w:pPr/>
    <w:rPr>
      <w:rFonts w:ascii="Tahoma" w:hAnsi="Tahoma" w:eastAsia="Calibri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csostblzat">
    <w:name w:val="Table Grid"/>
    <w:basedOn w:val="Normltblzat"/>
    <w:semiHidden/>
    <w:unhideWhenUsed/>
    <w:rsid w:val="00ae3e3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B95324-DA35-4372-82F2-901C11FC6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LibreOffice/7.0.3.1$Windows_X86_64 LibreOffice_project/d7547858d014d4cf69878db179d326fc3483e082</Application>
  <Pages>8</Pages>
  <Words>1617</Words>
  <Characters>11731</Characters>
  <CharactersWithSpaces>13418</CharactersWithSpaces>
  <Paragraphs>145</Paragraphs>
  <Company>Csokonyavisonta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2021-03-10T08:48:00Z</dcterms:created>
  <dc:creator>Körjegyzőség</dc:creator>
  <dc:description/>
  <dc:language>hu-HU</dc:language>
  <cp:lastModifiedBy/>
  <cp:lastPrinted>2019-03-13T09:28:00Z</cp:lastPrinted>
  <dcterms:modified xsi:type="dcterms:W3CDTF">2021-03-12T08:40:09Z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Csokonyavisonta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