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FB" w:rsidRDefault="00CF4EFB" w:rsidP="00CF4EFB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2. melléklet a 8/2015. (IX. 30.) önkormányzati rendelethez</w:t>
      </w:r>
    </w:p>
    <w:p w:rsidR="00CF4EFB" w:rsidRDefault="00CF4EFB" w:rsidP="00CF4EFB">
      <w:pPr>
        <w:pStyle w:val="NormlWeb"/>
        <w:spacing w:before="0" w:beforeAutospacing="0" w:after="0" w:afterAutospacing="0"/>
        <w:jc w:val="both"/>
      </w:pPr>
      <w:r>
        <w:t> </w:t>
      </w:r>
    </w:p>
    <w:p w:rsidR="00CF4EFB" w:rsidRDefault="00CF4EFB" w:rsidP="00CF4EFB">
      <w:pPr>
        <w:pStyle w:val="NormlWeb"/>
        <w:spacing w:before="0" w:beforeAutospacing="0" w:after="0" w:afterAutospacing="0"/>
        <w:jc w:val="both"/>
        <w:rPr>
          <w:rStyle w:val="Kiemels2"/>
          <w:u w:val="single"/>
        </w:rPr>
      </w:pPr>
      <w:r>
        <w:rPr>
          <w:rStyle w:val="Kiemels2"/>
          <w:u w:val="single"/>
        </w:rPr>
        <w:t>Az Önkormányzat tevékenységeinek kormányzati funkciói:</w:t>
      </w:r>
    </w:p>
    <w:p w:rsidR="00CF4EFB" w:rsidRDefault="00CF4EFB" w:rsidP="00CF4EFB">
      <w:pPr>
        <w:pStyle w:val="NormlWeb"/>
        <w:spacing w:before="0" w:beforeAutospacing="0" w:after="0" w:afterAutospacing="0"/>
        <w:jc w:val="both"/>
      </w:pPr>
    </w:p>
    <w:p w:rsidR="00CF4EFB" w:rsidRDefault="00CF4EFB" w:rsidP="00CF4EFB">
      <w:pPr>
        <w:pStyle w:val="NormlWeb"/>
        <w:spacing w:before="0" w:beforeAutospacing="0" w:after="0" w:afterAutospacing="0"/>
        <w:jc w:val="both"/>
      </w:pPr>
    </w:p>
    <w:tbl>
      <w:tblPr>
        <w:tblStyle w:val="Rcsostblzat"/>
        <w:tblW w:w="0" w:type="auto"/>
        <w:tblInd w:w="108" w:type="dxa"/>
        <w:tblLook w:val="01E0"/>
      </w:tblPr>
      <w:tblGrid>
        <w:gridCol w:w="1080"/>
        <w:gridCol w:w="8024"/>
      </w:tblGrid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pPr>
              <w:jc w:val="both"/>
            </w:pPr>
            <w:r w:rsidRPr="00B36A87">
              <w:t>011130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Önkormányzatok és önkormányzati hivatalok jogalkotó és általános igazgatási tevékenysége.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011220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Adó-, vám- és jövedéki igazgatás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013320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Köztemető-fenntartás és működtetés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013350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Az önkormányzati vagyonnal, való gazdálkodással kapcsolatos feladatok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>
              <w:t>016010</w:t>
            </w:r>
          </w:p>
        </w:tc>
        <w:tc>
          <w:tcPr>
            <w:tcW w:w="8024" w:type="dxa"/>
          </w:tcPr>
          <w:p w:rsidR="00CF4EFB" w:rsidRPr="00B36A87" w:rsidRDefault="00CF4EFB" w:rsidP="00F86CEA">
            <w:pPr>
              <w:rPr>
                <w:b/>
              </w:rPr>
            </w:pPr>
            <w:r>
              <w:t>Országgyűlési, önkormányzati és európai parlamenti képviselőválasztásokhoz kapcsolódó tevékenységek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>
              <w:t>016020</w:t>
            </w:r>
          </w:p>
        </w:tc>
        <w:tc>
          <w:tcPr>
            <w:tcW w:w="8024" w:type="dxa"/>
          </w:tcPr>
          <w:p w:rsidR="00CF4EFB" w:rsidRPr="00B36A87" w:rsidRDefault="00CF4EFB" w:rsidP="00F86CEA">
            <w:r>
              <w:t>Országos és helyi népszavazással kapcsolatos tevékenységek</w:t>
            </w:r>
            <w:r w:rsidRPr="00B36A87">
              <w:t xml:space="preserve"> 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>
              <w:t>016080</w:t>
            </w:r>
          </w:p>
        </w:tc>
        <w:tc>
          <w:tcPr>
            <w:tcW w:w="8024" w:type="dxa"/>
          </w:tcPr>
          <w:p w:rsidR="00CF4EFB" w:rsidRPr="00B36A87" w:rsidRDefault="00CF4EFB" w:rsidP="00F86CEA">
            <w:r>
              <w:t>Kiemelt állami és önkormányzati rendezvények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041231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Rövid időtartamú közfoglalkoztatás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041232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Start-munka program – Téli közfoglalkoztatás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041233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Hosszabb időtartamú közfoglalkoztatás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045120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Út, autópálya építése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045160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Közutak, hidak, alagutak üzemeltetése, fenntartása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064010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Közvilágítás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066010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Zöldterület kezelése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066020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Város-, községgazdálkodási egyéb szolgáltatások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>
              <w:t>072111</w:t>
            </w:r>
          </w:p>
        </w:tc>
        <w:tc>
          <w:tcPr>
            <w:tcW w:w="8024" w:type="dxa"/>
          </w:tcPr>
          <w:p w:rsidR="00CF4EFB" w:rsidRPr="00B36A87" w:rsidRDefault="00CF4EFB" w:rsidP="00F86CEA">
            <w:r>
              <w:t>Háziorvosi alapellátás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Default="00CF4EFB" w:rsidP="00F86CEA">
            <w:r>
              <w:t>072311</w:t>
            </w:r>
          </w:p>
        </w:tc>
        <w:tc>
          <w:tcPr>
            <w:tcW w:w="8024" w:type="dxa"/>
          </w:tcPr>
          <w:p w:rsidR="00CF4EFB" w:rsidRDefault="00CF4EFB" w:rsidP="00F86CEA">
            <w:r>
              <w:t>Fogorvosi alapellátás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074031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Család és nővédelmi egészségügyi gondozás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082044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 xml:space="preserve">Könyvtári szolgáltatások 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>
              <w:t>082063</w:t>
            </w:r>
          </w:p>
        </w:tc>
        <w:tc>
          <w:tcPr>
            <w:tcW w:w="8024" w:type="dxa"/>
          </w:tcPr>
          <w:p w:rsidR="00CF4EFB" w:rsidRPr="00B36A87" w:rsidRDefault="00CF4EFB" w:rsidP="00F86CEA">
            <w:r>
              <w:t>Múzeumi kiállítási tevékenység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082092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Közművelődés – hagyományos közösségi kulturális értékek gondozása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091140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Óvodai nevelés, ellátás működtetési feladatai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>
              <w:t>096015</w:t>
            </w:r>
          </w:p>
        </w:tc>
        <w:tc>
          <w:tcPr>
            <w:tcW w:w="8024" w:type="dxa"/>
          </w:tcPr>
          <w:p w:rsidR="00CF4EFB" w:rsidRPr="00B36A87" w:rsidRDefault="00CF4EFB" w:rsidP="00F86CEA">
            <w:r>
              <w:t>Gyermekétkeztetés köznevelési intézményben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Default="00CF4EFB" w:rsidP="00F86CEA">
            <w:r>
              <w:t>096025</w:t>
            </w:r>
          </w:p>
        </w:tc>
        <w:tc>
          <w:tcPr>
            <w:tcW w:w="8024" w:type="dxa"/>
          </w:tcPr>
          <w:p w:rsidR="00CF4EFB" w:rsidRDefault="00CF4EFB" w:rsidP="00F86CEA">
            <w:r>
              <w:t>Munkahelyi étkeztetés köznevelési intézményben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104042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Gyermekjóléti szolgáltatások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107051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Szociális étkeztetés</w:t>
            </w:r>
          </w:p>
        </w:tc>
      </w:tr>
      <w:tr w:rsidR="00CF4EFB" w:rsidRPr="004208A9" w:rsidTr="00F86CEA">
        <w:tc>
          <w:tcPr>
            <w:tcW w:w="1080" w:type="dxa"/>
          </w:tcPr>
          <w:p w:rsidR="00CF4EFB" w:rsidRPr="00B36A87" w:rsidRDefault="00CF4EFB" w:rsidP="00F86CEA">
            <w:r w:rsidRPr="00B36A87">
              <w:t>107052</w:t>
            </w:r>
          </w:p>
        </w:tc>
        <w:tc>
          <w:tcPr>
            <w:tcW w:w="8024" w:type="dxa"/>
          </w:tcPr>
          <w:p w:rsidR="00CF4EFB" w:rsidRPr="00B36A87" w:rsidRDefault="00CF4EFB" w:rsidP="00F86CEA">
            <w:r w:rsidRPr="00B36A87">
              <w:t>Házi segélynyújtás</w:t>
            </w:r>
          </w:p>
        </w:tc>
      </w:tr>
    </w:tbl>
    <w:p w:rsidR="00CF4EFB" w:rsidRDefault="00CF4EFB" w:rsidP="00CF4EFB">
      <w:pPr>
        <w:pStyle w:val="NormlWeb"/>
        <w:spacing w:before="0" w:beforeAutospacing="0" w:after="0" w:afterAutospacing="0"/>
        <w:jc w:val="both"/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CF4EFB"/>
    <w:rsid w:val="001B195F"/>
    <w:rsid w:val="0030238D"/>
    <w:rsid w:val="00977ACE"/>
    <w:rsid w:val="00CF4EFB"/>
    <w:rsid w:val="00F3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F4EFB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CF4EFB"/>
    <w:rPr>
      <w:b/>
      <w:bCs/>
    </w:rPr>
  </w:style>
  <w:style w:type="table" w:styleId="Rcsostblzat">
    <w:name w:val="Table Grid"/>
    <w:basedOn w:val="Normltblzat"/>
    <w:rsid w:val="00CF4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2015-10-15T12:01:00Z</dcterms:created>
  <dcterms:modified xsi:type="dcterms:W3CDTF">2015-10-15T12:02:00Z</dcterms:modified>
</cp:coreProperties>
</file>