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0B7" w:rsidRPr="00B5075D" w:rsidRDefault="00C37EA1" w:rsidP="00F130B7">
      <w:pPr>
        <w:tabs>
          <w:tab w:val="left" w:pos="4680"/>
        </w:tabs>
        <w:autoSpaceDE w:val="0"/>
        <w:autoSpaceDN w:val="0"/>
        <w:adjustRightInd w:val="0"/>
        <w:jc w:val="right"/>
      </w:pPr>
      <w:r>
        <w:t>1</w:t>
      </w:r>
      <w:r w:rsidR="00F130B7" w:rsidRPr="00B5075D">
        <w:t>. melléklet</w:t>
      </w:r>
    </w:p>
    <w:p w:rsidR="00F130B7" w:rsidRPr="00B5075D" w:rsidRDefault="00F130B7" w:rsidP="00F130B7">
      <w:pPr>
        <w:autoSpaceDE w:val="0"/>
        <w:autoSpaceDN w:val="0"/>
        <w:adjustRightInd w:val="0"/>
        <w:jc w:val="right"/>
      </w:pPr>
      <w:r w:rsidRPr="00B5075D">
        <w:t xml:space="preserve">a </w:t>
      </w:r>
      <w:r w:rsidR="00B228B1">
        <w:t>18/2017 (X.20.)</w:t>
      </w:r>
      <w:r w:rsidR="00B228B1">
        <w:t xml:space="preserve"> </w:t>
      </w:r>
      <w:r w:rsidRPr="00B5075D">
        <w:t>önkormányzati rendelethez</w:t>
      </w:r>
    </w:p>
    <w:p w:rsidR="00F130B7" w:rsidRPr="00B5075D" w:rsidRDefault="00F130B7" w:rsidP="00F130B7">
      <w:pPr>
        <w:tabs>
          <w:tab w:val="left" w:pos="4680"/>
        </w:tabs>
        <w:autoSpaceDE w:val="0"/>
        <w:autoSpaceDN w:val="0"/>
        <w:adjustRightInd w:val="0"/>
        <w:jc w:val="right"/>
      </w:pPr>
    </w:p>
    <w:p w:rsidR="00F130B7" w:rsidRPr="00B5075D" w:rsidRDefault="00F130B7" w:rsidP="00F130B7">
      <w:pPr>
        <w:jc w:val="center"/>
        <w:rPr>
          <w:b/>
        </w:rPr>
      </w:pPr>
    </w:p>
    <w:p w:rsidR="00381FBC" w:rsidRPr="00381FBC" w:rsidRDefault="00381FBC" w:rsidP="00381FBC">
      <w:pPr>
        <w:widowControl/>
        <w:suppressAutoHyphens w:val="0"/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381FBC">
        <w:rPr>
          <w:rFonts w:eastAsia="Calibri"/>
          <w:b/>
          <w:sz w:val="22"/>
          <w:szCs w:val="22"/>
          <w:lang w:eastAsia="en-US"/>
        </w:rPr>
        <w:t>A reklámcélú közterület-használatért fizetendő bérleti díj</w:t>
      </w:r>
    </w:p>
    <w:p w:rsidR="00381FBC" w:rsidRPr="00381FBC" w:rsidRDefault="00381FBC" w:rsidP="00381FBC">
      <w:pPr>
        <w:widowControl/>
        <w:suppressAutoHyphens w:val="0"/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2224"/>
        <w:gridCol w:w="4106"/>
        <w:gridCol w:w="1803"/>
      </w:tblGrid>
      <w:tr w:rsidR="00381FBC" w:rsidRPr="00381FBC" w:rsidTr="00381FBC">
        <w:tc>
          <w:tcPr>
            <w:tcW w:w="517" w:type="dxa"/>
            <w:vMerge w:val="restart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vMerge w:val="restart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A reklámcélú</w:t>
            </w:r>
          </w:p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közterület-használat igénybevételének módja</w:t>
            </w:r>
          </w:p>
        </w:tc>
        <w:tc>
          <w:tcPr>
            <w:tcW w:w="5909" w:type="dxa"/>
            <w:gridSpan w:val="2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81FBC" w:rsidRPr="00381FBC" w:rsidTr="00436256">
        <w:tc>
          <w:tcPr>
            <w:tcW w:w="517" w:type="dxa"/>
            <w:vMerge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vMerge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06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Díj</w:t>
            </w:r>
          </w:p>
        </w:tc>
        <w:tc>
          <w:tcPr>
            <w:tcW w:w="1803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Díjfizetés</w:t>
            </w:r>
          </w:p>
        </w:tc>
      </w:tr>
      <w:tr w:rsidR="00381FBC" w:rsidRPr="00381FBC" w:rsidTr="00436256">
        <w:tc>
          <w:tcPr>
            <w:tcW w:w="517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24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 xml:space="preserve">Alkalmi </w:t>
            </w:r>
            <w:proofErr w:type="spellStart"/>
            <w:r w:rsidRPr="00381FBC">
              <w:rPr>
                <w:rFonts w:eastAsia="Calibri"/>
                <w:sz w:val="22"/>
                <w:szCs w:val="22"/>
                <w:lang w:eastAsia="en-US"/>
              </w:rPr>
              <w:t>árukirakodás</w:t>
            </w:r>
            <w:proofErr w:type="spellEnd"/>
          </w:p>
        </w:tc>
        <w:tc>
          <w:tcPr>
            <w:tcW w:w="4106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2000,-</w:t>
            </w:r>
          </w:p>
        </w:tc>
        <w:tc>
          <w:tcPr>
            <w:tcW w:w="1803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Ft/nap/</w:t>
            </w:r>
          </w:p>
        </w:tc>
      </w:tr>
      <w:tr w:rsidR="00381FBC" w:rsidRPr="00381FBC" w:rsidTr="00436256">
        <w:tc>
          <w:tcPr>
            <w:tcW w:w="517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24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Információs és más célú berendezés</w:t>
            </w:r>
          </w:p>
        </w:tc>
        <w:tc>
          <w:tcPr>
            <w:tcW w:w="4106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803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Ft/hó/m</w:t>
            </w:r>
            <w:r w:rsidRPr="00381FBC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381FBC" w:rsidRPr="00381FBC" w:rsidTr="00436256">
        <w:tc>
          <w:tcPr>
            <w:tcW w:w="517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224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 xml:space="preserve">Állandó jelleggel </w:t>
            </w:r>
          </w:p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épített reklámeszköz</w:t>
            </w:r>
          </w:p>
        </w:tc>
        <w:tc>
          <w:tcPr>
            <w:tcW w:w="4106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2.200,-</w:t>
            </w:r>
          </w:p>
        </w:tc>
        <w:tc>
          <w:tcPr>
            <w:tcW w:w="1803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Ft/év/m</w:t>
            </w:r>
            <w:r w:rsidRPr="00381FBC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381FBC" w:rsidRPr="00381FBC" w:rsidTr="00436256">
        <w:tc>
          <w:tcPr>
            <w:tcW w:w="517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24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Árubemutatás</w:t>
            </w:r>
          </w:p>
        </w:tc>
        <w:tc>
          <w:tcPr>
            <w:tcW w:w="4106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800,-</w:t>
            </w:r>
          </w:p>
        </w:tc>
        <w:tc>
          <w:tcPr>
            <w:tcW w:w="1803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Ft/hó/m</w:t>
            </w:r>
            <w:r w:rsidRPr="00381FBC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381FBC" w:rsidRPr="00381FBC" w:rsidTr="00436256">
        <w:tc>
          <w:tcPr>
            <w:tcW w:w="517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224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Cégér, cég- és</w:t>
            </w:r>
          </w:p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címtábla, cégfelirat</w:t>
            </w:r>
          </w:p>
        </w:tc>
        <w:tc>
          <w:tcPr>
            <w:tcW w:w="4106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400,-</w:t>
            </w:r>
          </w:p>
        </w:tc>
        <w:tc>
          <w:tcPr>
            <w:tcW w:w="1803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Ft/m2/hó</w:t>
            </w:r>
          </w:p>
        </w:tc>
      </w:tr>
      <w:tr w:rsidR="00381FBC" w:rsidRPr="00381FBC" w:rsidTr="00436256">
        <w:tc>
          <w:tcPr>
            <w:tcW w:w="517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24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Cégfelirat napellenzőn</w:t>
            </w:r>
          </w:p>
        </w:tc>
        <w:tc>
          <w:tcPr>
            <w:tcW w:w="4106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200,-</w:t>
            </w:r>
          </w:p>
        </w:tc>
        <w:tc>
          <w:tcPr>
            <w:tcW w:w="1803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Ft/hó/db</w:t>
            </w:r>
          </w:p>
        </w:tc>
      </w:tr>
      <w:tr w:rsidR="00381FBC" w:rsidRPr="00381FBC" w:rsidTr="00436256">
        <w:tc>
          <w:tcPr>
            <w:tcW w:w="517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224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Cirkuszi tábla</w:t>
            </w:r>
          </w:p>
        </w:tc>
        <w:tc>
          <w:tcPr>
            <w:tcW w:w="4106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100,-</w:t>
            </w:r>
          </w:p>
        </w:tc>
        <w:tc>
          <w:tcPr>
            <w:tcW w:w="1803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Ft/nap/db</w:t>
            </w:r>
          </w:p>
        </w:tc>
      </w:tr>
      <w:tr w:rsidR="00381FBC" w:rsidRPr="00381FBC" w:rsidTr="00436256">
        <w:tc>
          <w:tcPr>
            <w:tcW w:w="517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224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iCs/>
                <w:sz w:val="22"/>
                <w:szCs w:val="22"/>
                <w:lang w:eastAsia="en-US"/>
              </w:rPr>
              <w:t>Egyedi mobil tájékoztató tábla</w:t>
            </w:r>
          </w:p>
        </w:tc>
        <w:tc>
          <w:tcPr>
            <w:tcW w:w="4106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100,-</w:t>
            </w:r>
          </w:p>
        </w:tc>
        <w:tc>
          <w:tcPr>
            <w:tcW w:w="1803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Ft/nap/db</w:t>
            </w:r>
          </w:p>
        </w:tc>
      </w:tr>
      <w:tr w:rsidR="00381FBC" w:rsidRPr="00381FBC" w:rsidTr="00436256">
        <w:tc>
          <w:tcPr>
            <w:tcW w:w="517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224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Hangos reklám</w:t>
            </w:r>
          </w:p>
        </w:tc>
        <w:tc>
          <w:tcPr>
            <w:tcW w:w="4106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3.000,-</w:t>
            </w:r>
          </w:p>
        </w:tc>
        <w:tc>
          <w:tcPr>
            <w:tcW w:w="1803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Ft/nap/gépjármű</w:t>
            </w:r>
          </w:p>
        </w:tc>
      </w:tr>
      <w:tr w:rsidR="00381FBC" w:rsidRPr="00381FBC" w:rsidTr="00436256">
        <w:tc>
          <w:tcPr>
            <w:tcW w:w="517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224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Megállító reklámeszköz</w:t>
            </w:r>
          </w:p>
        </w:tc>
        <w:tc>
          <w:tcPr>
            <w:tcW w:w="4106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1.000,-</w:t>
            </w:r>
          </w:p>
        </w:tc>
        <w:tc>
          <w:tcPr>
            <w:tcW w:w="1803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Ft/hó/m</w:t>
            </w:r>
            <w:r w:rsidRPr="00381FBC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381FBC" w:rsidRPr="00381FBC" w:rsidTr="00436256">
        <w:tc>
          <w:tcPr>
            <w:tcW w:w="517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224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Molinó</w:t>
            </w:r>
          </w:p>
        </w:tc>
        <w:tc>
          <w:tcPr>
            <w:tcW w:w="4106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150,-</w:t>
            </w:r>
          </w:p>
        </w:tc>
        <w:tc>
          <w:tcPr>
            <w:tcW w:w="1803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Ft/nap/m</w:t>
            </w:r>
            <w:r w:rsidRPr="00381FBC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381FBC" w:rsidRPr="00381FBC" w:rsidTr="00436256">
        <w:tc>
          <w:tcPr>
            <w:tcW w:w="517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224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Reklámvitrin</w:t>
            </w:r>
          </w:p>
        </w:tc>
        <w:tc>
          <w:tcPr>
            <w:tcW w:w="4106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500,-</w:t>
            </w:r>
          </w:p>
        </w:tc>
        <w:tc>
          <w:tcPr>
            <w:tcW w:w="1803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Ft/hó/m</w:t>
            </w:r>
            <w:r w:rsidRPr="00381FBC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381FBC" w:rsidRPr="00381FBC" w:rsidTr="00436256">
        <w:tc>
          <w:tcPr>
            <w:tcW w:w="517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2224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Reklámzászló</w:t>
            </w:r>
          </w:p>
        </w:tc>
        <w:tc>
          <w:tcPr>
            <w:tcW w:w="4106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1.500,-</w:t>
            </w:r>
          </w:p>
        </w:tc>
        <w:tc>
          <w:tcPr>
            <w:tcW w:w="1803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Ft/hó/m</w:t>
            </w:r>
            <w:r w:rsidRPr="00381FBC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381FBC" w:rsidRPr="00381FBC" w:rsidTr="00436256">
        <w:tc>
          <w:tcPr>
            <w:tcW w:w="517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2224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Jármű, gépjármű</w:t>
            </w:r>
          </w:p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reklámcélú tárolása</w:t>
            </w:r>
          </w:p>
        </w:tc>
        <w:tc>
          <w:tcPr>
            <w:tcW w:w="4106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100,-</w:t>
            </w:r>
          </w:p>
        </w:tc>
        <w:tc>
          <w:tcPr>
            <w:tcW w:w="1803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Ft/nap/m</w:t>
            </w:r>
            <w:r w:rsidRPr="00381FBC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381FBC" w:rsidRPr="00381FBC" w:rsidTr="00436256">
        <w:tc>
          <w:tcPr>
            <w:tcW w:w="517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2224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Drón, pilóta nélküli légi jármű reklámcélú használata</w:t>
            </w:r>
          </w:p>
        </w:tc>
        <w:tc>
          <w:tcPr>
            <w:tcW w:w="4106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3.000,-</w:t>
            </w:r>
          </w:p>
        </w:tc>
        <w:tc>
          <w:tcPr>
            <w:tcW w:w="1803" w:type="dxa"/>
            <w:shd w:val="clear" w:color="auto" w:fill="auto"/>
          </w:tcPr>
          <w:p w:rsidR="00381FBC" w:rsidRPr="00381FBC" w:rsidRDefault="00381FBC" w:rsidP="00381FBC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81FBC">
              <w:rPr>
                <w:rFonts w:eastAsia="Calibri"/>
                <w:sz w:val="22"/>
                <w:szCs w:val="22"/>
                <w:lang w:eastAsia="en-US"/>
              </w:rPr>
              <w:t>Ft/nap/db</w:t>
            </w:r>
          </w:p>
        </w:tc>
      </w:tr>
    </w:tbl>
    <w:p w:rsidR="00810B7C" w:rsidRDefault="00810B7C">
      <w:bookmarkStart w:id="0" w:name="_GoBack"/>
      <w:bookmarkEnd w:id="0"/>
    </w:p>
    <w:sectPr w:rsidR="00810B7C" w:rsidSect="00381FB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B7"/>
    <w:rsid w:val="000A1E1D"/>
    <w:rsid w:val="00381FBC"/>
    <w:rsid w:val="00597489"/>
    <w:rsid w:val="00810B7C"/>
    <w:rsid w:val="00B228B1"/>
    <w:rsid w:val="00B57212"/>
    <w:rsid w:val="00C37EA1"/>
    <w:rsid w:val="00DF1DFC"/>
    <w:rsid w:val="00E40422"/>
    <w:rsid w:val="00F1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EAFD"/>
  <w15:docId w15:val="{5DAD002E-B6BC-492C-B55D-638F1886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30B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Hajdúnánási Közös Önkormányzati Hivatal</cp:lastModifiedBy>
  <cp:revision>3</cp:revision>
  <dcterms:created xsi:type="dcterms:W3CDTF">2017-10-25T10:50:00Z</dcterms:created>
  <dcterms:modified xsi:type="dcterms:W3CDTF">2017-10-25T10:56:00Z</dcterms:modified>
</cp:coreProperties>
</file>